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3948" w14:textId="77777777" w:rsidR="00DD0B23" w:rsidRPr="00DD0B23" w:rsidRDefault="00DD0B23" w:rsidP="00DD0B23">
      <w:pPr>
        <w:shd w:val="clear" w:color="auto" w:fill="FFFFFF"/>
        <w:spacing w:after="0" w:line="240" w:lineRule="auto"/>
        <w:outlineLvl w:val="0"/>
        <w:rPr>
          <w:rFonts w:ascii="Helvetica" w:eastAsia="Times New Roman" w:hAnsi="Helvetica" w:cs="Helvetica"/>
          <w:b/>
          <w:bCs/>
          <w:color w:val="000000"/>
          <w:spacing w:val="-5"/>
          <w:kern w:val="36"/>
          <w:sz w:val="48"/>
          <w:szCs w:val="48"/>
          <w:lang w:eastAsia="en-GB"/>
        </w:rPr>
      </w:pPr>
      <w:r w:rsidRPr="00DD0B23">
        <w:rPr>
          <w:rFonts w:ascii="Helvetica" w:eastAsia="Times New Roman" w:hAnsi="Helvetica" w:cs="Helvetica"/>
          <w:b/>
          <w:bCs/>
          <w:color w:val="000000"/>
          <w:spacing w:val="-5"/>
          <w:kern w:val="36"/>
          <w:sz w:val="48"/>
          <w:szCs w:val="48"/>
          <w:lang w:eastAsia="en-GB"/>
        </w:rPr>
        <w:t>Wellcome and COAF open access spend 2017/18</w:t>
      </w:r>
    </w:p>
    <w:p w14:paraId="6C5664FB" w14:textId="77777777" w:rsidR="00DD0B23" w:rsidRPr="00DD0B23" w:rsidRDefault="00DD0B23" w:rsidP="00DD0B23">
      <w:pPr>
        <w:shd w:val="clear" w:color="auto" w:fill="FFFFFF"/>
        <w:spacing w:after="0" w:line="240" w:lineRule="auto"/>
        <w:outlineLvl w:val="3"/>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This is our analysis of the spending by 36 organisations that received a grant from the Charity Open Access Fund (COAF) between October 2017 and September 2018.</w:t>
      </w:r>
    </w:p>
    <w:p w14:paraId="496CEBB1" w14:textId="77777777" w:rsidR="00DD0B23" w:rsidRPr="00DD0B23" w:rsidRDefault="00DD0B23" w:rsidP="00DD0B23">
      <w:pPr>
        <w:shd w:val="clear" w:color="auto" w:fill="FFFFFF"/>
        <w:spacing w:before="100" w:beforeAutospacing="1" w:after="100" w:afterAutospacing="1" w:line="240" w:lineRule="auto"/>
        <w:outlineLvl w:val="2"/>
        <w:rPr>
          <w:rFonts w:ascii="Helvetica" w:eastAsia="Times New Roman" w:hAnsi="Helvetica" w:cs="Helvetica"/>
          <w:b/>
          <w:bCs/>
          <w:color w:val="333333"/>
          <w:spacing w:val="4"/>
          <w:sz w:val="27"/>
          <w:szCs w:val="27"/>
          <w:lang w:eastAsia="en-GB"/>
        </w:rPr>
      </w:pPr>
      <w:r w:rsidRPr="00DD0B23">
        <w:rPr>
          <w:rFonts w:ascii="Helvetica" w:eastAsia="Times New Roman" w:hAnsi="Helvetica" w:cs="Helvetica"/>
          <w:b/>
          <w:bCs/>
          <w:color w:val="333333"/>
          <w:spacing w:val="4"/>
          <w:sz w:val="27"/>
          <w:szCs w:val="27"/>
          <w:lang w:eastAsia="en-GB"/>
        </w:rPr>
        <w:t>On this page</w:t>
      </w:r>
    </w:p>
    <w:p w14:paraId="729ABE8A" w14:textId="77777777" w:rsidR="00DD0B23" w:rsidRPr="00DD0B23" w:rsidRDefault="00DD0B23" w:rsidP="00DD0B23">
      <w:pPr>
        <w:numPr>
          <w:ilvl w:val="0"/>
          <w:numId w:val="1"/>
        </w:numPr>
        <w:pBdr>
          <w:bottom w:val="single" w:sz="6" w:space="0" w:color="D9D9D9"/>
        </w:pBdr>
        <w:shd w:val="clear" w:color="auto" w:fill="FFFFFF"/>
        <w:spacing w:after="0" w:line="360" w:lineRule="atLeast"/>
        <w:rPr>
          <w:rFonts w:ascii="Helvetica" w:eastAsia="Times New Roman" w:hAnsi="Helvetica" w:cs="Helvetica"/>
          <w:color w:val="333333"/>
          <w:spacing w:val="4"/>
          <w:sz w:val="24"/>
          <w:szCs w:val="24"/>
          <w:lang w:eastAsia="en-GB"/>
        </w:rPr>
      </w:pPr>
      <w:hyperlink r:id="rId5" w:anchor="overview" w:history="1">
        <w:r w:rsidRPr="00DD0B23">
          <w:rPr>
            <w:rFonts w:ascii="Helvetica" w:eastAsia="Times New Roman" w:hAnsi="Helvetica" w:cs="Helvetica"/>
            <w:color w:val="003170"/>
            <w:spacing w:val="4"/>
            <w:sz w:val="24"/>
            <w:szCs w:val="24"/>
            <w:lang w:eastAsia="en-GB"/>
          </w:rPr>
          <w:t>Overview</w:t>
        </w:r>
      </w:hyperlink>
    </w:p>
    <w:p w14:paraId="358C9AC9" w14:textId="77777777" w:rsidR="00DD0B23" w:rsidRPr="00DD0B23" w:rsidRDefault="00DD0B23" w:rsidP="00DD0B23">
      <w:pPr>
        <w:numPr>
          <w:ilvl w:val="0"/>
          <w:numId w:val="1"/>
        </w:numPr>
        <w:pBdr>
          <w:bottom w:val="single" w:sz="6" w:space="0" w:color="D9D9D9"/>
        </w:pBdr>
        <w:shd w:val="clear" w:color="auto" w:fill="FFFFFF"/>
        <w:spacing w:after="0" w:line="360" w:lineRule="atLeast"/>
        <w:rPr>
          <w:rFonts w:ascii="Helvetica" w:eastAsia="Times New Roman" w:hAnsi="Helvetica" w:cs="Helvetica"/>
          <w:color w:val="333333"/>
          <w:spacing w:val="4"/>
          <w:sz w:val="24"/>
          <w:szCs w:val="24"/>
          <w:lang w:eastAsia="en-GB"/>
        </w:rPr>
      </w:pPr>
      <w:hyperlink r:id="rId6" w:anchor="cost-analysis" w:history="1">
        <w:r w:rsidRPr="00DD0B23">
          <w:rPr>
            <w:rFonts w:ascii="Helvetica" w:eastAsia="Times New Roman" w:hAnsi="Helvetica" w:cs="Helvetica"/>
            <w:color w:val="003170"/>
            <w:spacing w:val="4"/>
            <w:sz w:val="24"/>
            <w:szCs w:val="24"/>
            <w:lang w:eastAsia="en-GB"/>
          </w:rPr>
          <w:t>Cost analysis</w:t>
        </w:r>
      </w:hyperlink>
    </w:p>
    <w:p w14:paraId="6E1AE529" w14:textId="77777777" w:rsidR="00DD0B23" w:rsidRPr="00DD0B23" w:rsidRDefault="00DD0B23" w:rsidP="00DD0B23">
      <w:pPr>
        <w:numPr>
          <w:ilvl w:val="0"/>
          <w:numId w:val="1"/>
        </w:numPr>
        <w:pBdr>
          <w:bottom w:val="single" w:sz="6" w:space="0" w:color="D9D9D9"/>
        </w:pBdr>
        <w:shd w:val="clear" w:color="auto" w:fill="FFFFFF"/>
        <w:spacing w:after="0" w:line="360" w:lineRule="atLeast"/>
        <w:rPr>
          <w:rFonts w:ascii="Helvetica" w:eastAsia="Times New Roman" w:hAnsi="Helvetica" w:cs="Helvetica"/>
          <w:color w:val="333333"/>
          <w:spacing w:val="4"/>
          <w:sz w:val="24"/>
          <w:szCs w:val="24"/>
          <w:lang w:eastAsia="en-GB"/>
        </w:rPr>
      </w:pPr>
      <w:hyperlink r:id="rId7" w:anchor="compliance-data" w:history="1">
        <w:r w:rsidRPr="00DD0B23">
          <w:rPr>
            <w:rFonts w:ascii="Helvetica" w:eastAsia="Times New Roman" w:hAnsi="Helvetica" w:cs="Helvetica"/>
            <w:color w:val="003170"/>
            <w:spacing w:val="4"/>
            <w:sz w:val="24"/>
            <w:szCs w:val="24"/>
            <w:lang w:eastAsia="en-GB"/>
          </w:rPr>
          <w:t>Compliance data</w:t>
        </w:r>
      </w:hyperlink>
    </w:p>
    <w:p w14:paraId="18D6556D" w14:textId="77777777" w:rsidR="00DD0B23" w:rsidRPr="00DD0B23" w:rsidRDefault="00DD0B23" w:rsidP="00DD0B23">
      <w:pPr>
        <w:numPr>
          <w:ilvl w:val="0"/>
          <w:numId w:val="1"/>
        </w:numPr>
        <w:pBdr>
          <w:bottom w:val="single" w:sz="6" w:space="0" w:color="D9D9D9"/>
        </w:pBdr>
        <w:shd w:val="clear" w:color="auto" w:fill="FFFFFF"/>
        <w:spacing w:after="0" w:line="360" w:lineRule="atLeast"/>
        <w:rPr>
          <w:rFonts w:ascii="Helvetica" w:eastAsia="Times New Roman" w:hAnsi="Helvetica" w:cs="Helvetica"/>
          <w:color w:val="333333"/>
          <w:spacing w:val="4"/>
          <w:sz w:val="24"/>
          <w:szCs w:val="24"/>
          <w:lang w:eastAsia="en-GB"/>
        </w:rPr>
      </w:pPr>
      <w:hyperlink r:id="rId8" w:anchor="conclusions-and-actions" w:history="1">
        <w:r w:rsidRPr="00DD0B23">
          <w:rPr>
            <w:rFonts w:ascii="Helvetica" w:eastAsia="Times New Roman" w:hAnsi="Helvetica" w:cs="Helvetica"/>
            <w:color w:val="003170"/>
            <w:spacing w:val="4"/>
            <w:sz w:val="24"/>
            <w:szCs w:val="24"/>
            <w:lang w:eastAsia="en-GB"/>
          </w:rPr>
          <w:t>Conclusions and actions</w:t>
        </w:r>
      </w:hyperlink>
    </w:p>
    <w:p w14:paraId="7197F011" w14:textId="77777777" w:rsidR="00DD0B23" w:rsidRPr="00DD0B23" w:rsidRDefault="00DD0B23" w:rsidP="00DD0B23">
      <w:pPr>
        <w:shd w:val="clear" w:color="auto" w:fill="FFFFFF"/>
        <w:spacing w:before="100" w:beforeAutospacing="1" w:after="100" w:afterAutospacing="1" w:line="240" w:lineRule="auto"/>
        <w:outlineLvl w:val="1"/>
        <w:rPr>
          <w:rFonts w:ascii="Helvetica" w:eastAsia="Times New Roman" w:hAnsi="Helvetica" w:cs="Helvetica"/>
          <w:b/>
          <w:bCs/>
          <w:color w:val="000000"/>
          <w:spacing w:val="-3"/>
          <w:sz w:val="36"/>
          <w:szCs w:val="36"/>
          <w:lang w:eastAsia="en-GB"/>
        </w:rPr>
      </w:pPr>
      <w:r w:rsidRPr="00DD0B23">
        <w:rPr>
          <w:rFonts w:ascii="Helvetica" w:eastAsia="Times New Roman" w:hAnsi="Helvetica" w:cs="Helvetica"/>
          <w:b/>
          <w:bCs/>
          <w:color w:val="000000"/>
          <w:spacing w:val="-3"/>
          <w:sz w:val="36"/>
          <w:szCs w:val="36"/>
          <w:lang w:eastAsia="en-GB"/>
        </w:rPr>
        <w:t>Overview</w:t>
      </w:r>
    </w:p>
    <w:p w14:paraId="6CE1A23A"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Every year, we ask all organisations in receipt of a grant from COAF to provide details about their open access (OA) publications and their associated article processing charges (APCs). The analysis covers research funded by:</w:t>
      </w:r>
    </w:p>
    <w:p w14:paraId="27197432" w14:textId="77777777" w:rsidR="00DD0B23" w:rsidRPr="00DD0B23" w:rsidRDefault="00DD0B23" w:rsidP="00DD0B23">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Versus Arthritis</w:t>
      </w:r>
    </w:p>
    <w:p w14:paraId="168B7603" w14:textId="77777777" w:rsidR="00DD0B23" w:rsidRPr="00DD0B23" w:rsidRDefault="00DD0B23" w:rsidP="00DD0B23">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proofErr w:type="spellStart"/>
      <w:r w:rsidRPr="00DD0B23">
        <w:rPr>
          <w:rFonts w:ascii="Helvetica" w:eastAsia="Times New Roman" w:hAnsi="Helvetica" w:cs="Helvetica"/>
          <w:color w:val="333333"/>
          <w:spacing w:val="4"/>
          <w:sz w:val="24"/>
          <w:szCs w:val="24"/>
          <w:lang w:eastAsia="en-GB"/>
        </w:rPr>
        <w:t>Bloodwise</w:t>
      </w:r>
      <w:proofErr w:type="spellEnd"/>
    </w:p>
    <w:p w14:paraId="7F3B0E61" w14:textId="77777777" w:rsidR="00DD0B23" w:rsidRPr="00DD0B23" w:rsidRDefault="00DD0B23" w:rsidP="00DD0B23">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British Heart Foundation</w:t>
      </w:r>
    </w:p>
    <w:p w14:paraId="17A38F69" w14:textId="77777777" w:rsidR="00DD0B23" w:rsidRPr="00DD0B23" w:rsidRDefault="00DD0B23" w:rsidP="00DD0B23">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Cancer Research UK</w:t>
      </w:r>
    </w:p>
    <w:p w14:paraId="78C15F78" w14:textId="77777777" w:rsidR="00DD0B23" w:rsidRPr="00DD0B23" w:rsidRDefault="00DD0B23" w:rsidP="00DD0B23">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Parkinson’s UK</w:t>
      </w:r>
    </w:p>
    <w:p w14:paraId="2D7884DE" w14:textId="77777777" w:rsidR="00DD0B23" w:rsidRPr="00DD0B23" w:rsidRDefault="00DD0B23" w:rsidP="00DD0B23">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Wellcome.</w:t>
      </w:r>
    </w:p>
    <w:p w14:paraId="038DFF4F"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It provides details of the costs of OA publishing incurred by COAF and the extent to which the published articles comply with the COAF OA policy.</w:t>
      </w:r>
    </w:p>
    <w:p w14:paraId="79883830" w14:textId="77777777" w:rsidR="00DD0B23" w:rsidRPr="00DD0B23" w:rsidRDefault="00DD0B23" w:rsidP="00DD0B23">
      <w:pPr>
        <w:shd w:val="clear" w:color="auto" w:fill="FFFFFF"/>
        <w:spacing w:beforeAutospacing="1" w:after="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Overall, full compliance with the COAF OA policy – articles freely accessible through Europe PMC and made available under a CC-BY licence – was 90%, an increase on </w:t>
      </w:r>
      <w:hyperlink r:id="rId9" w:history="1">
        <w:r w:rsidRPr="00DD0B23">
          <w:rPr>
            <w:rFonts w:ascii="Helvetica" w:eastAsia="Times New Roman" w:hAnsi="Helvetica" w:cs="Helvetica"/>
            <w:color w:val="003170"/>
            <w:spacing w:val="4"/>
            <w:sz w:val="24"/>
            <w:szCs w:val="24"/>
            <w:u w:val="single"/>
            <w:lang w:eastAsia="en-GB"/>
          </w:rPr>
          <w:t>last year’s</w:t>
        </w:r>
      </w:hyperlink>
      <w:r w:rsidRPr="00DD0B23">
        <w:rPr>
          <w:rFonts w:ascii="Helvetica" w:eastAsia="Times New Roman" w:hAnsi="Helvetica" w:cs="Helvetica"/>
          <w:color w:val="333333"/>
          <w:spacing w:val="4"/>
          <w:sz w:val="24"/>
          <w:szCs w:val="24"/>
          <w:lang w:eastAsia="en-GB"/>
        </w:rPr>
        <w:t> figure of 87%.</w:t>
      </w:r>
    </w:p>
    <w:p w14:paraId="79E07601"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The cost of OA publishing continues to rise, with both hybrid and fully OA journals contributing to the growing cost.</w:t>
      </w:r>
    </w:p>
    <w:p w14:paraId="331C0C36" w14:textId="77777777" w:rsidR="00DD0B23" w:rsidRPr="00DD0B23" w:rsidRDefault="00DD0B23" w:rsidP="00DD0B23">
      <w:pPr>
        <w:pBdr>
          <w:top w:val="single" w:sz="6" w:space="0" w:color="D9D9D9"/>
        </w:pBdr>
        <w:shd w:val="clear" w:color="auto" w:fill="FFFFFF"/>
        <w:spacing w:before="100" w:beforeAutospacing="1" w:after="100" w:afterAutospacing="1" w:line="240" w:lineRule="auto"/>
        <w:outlineLvl w:val="1"/>
        <w:rPr>
          <w:rFonts w:ascii="Helvetica" w:eastAsia="Times New Roman" w:hAnsi="Helvetica" w:cs="Helvetica"/>
          <w:b/>
          <w:bCs/>
          <w:color w:val="000000"/>
          <w:spacing w:val="-3"/>
          <w:sz w:val="36"/>
          <w:szCs w:val="36"/>
          <w:lang w:eastAsia="en-GB"/>
        </w:rPr>
      </w:pPr>
      <w:r w:rsidRPr="00DD0B23">
        <w:rPr>
          <w:rFonts w:ascii="Helvetica" w:eastAsia="Times New Roman" w:hAnsi="Helvetica" w:cs="Helvetica"/>
          <w:b/>
          <w:bCs/>
          <w:color w:val="000000"/>
          <w:spacing w:val="-3"/>
          <w:sz w:val="36"/>
          <w:szCs w:val="36"/>
          <w:lang w:eastAsia="en-GB"/>
        </w:rPr>
        <w:t>Cost analysis</w:t>
      </w:r>
    </w:p>
    <w:p w14:paraId="560D333B"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In 2017/18, COAF funded the APCs of 3,601 articles at a cost of £7.5 million (see table 1).</w:t>
      </w:r>
    </w:p>
    <w:p w14:paraId="53734070"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We haven't included 228 articles that were either:</w:t>
      </w:r>
    </w:p>
    <w:p w14:paraId="077BF902" w14:textId="77777777" w:rsidR="00DD0B23" w:rsidRPr="00DD0B23" w:rsidRDefault="00DD0B23" w:rsidP="00DD0B23">
      <w:pPr>
        <w:numPr>
          <w:ilvl w:val="0"/>
          <w:numId w:val="3"/>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lastRenderedPageBreak/>
        <w:t>ahead of print, as they wouldn’t yet have been checked for compliance </w:t>
      </w:r>
    </w:p>
    <w:p w14:paraId="3A0C7FEB" w14:textId="77777777" w:rsidR="00DD0B23" w:rsidRPr="00DD0B23" w:rsidRDefault="00DD0B23" w:rsidP="00DD0B23">
      <w:pPr>
        <w:numPr>
          <w:ilvl w:val="0"/>
          <w:numId w:val="3"/>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xml:space="preserve">in publisher deals with a reported APC of £0 – we </w:t>
      </w:r>
      <w:proofErr w:type="gramStart"/>
      <w:r w:rsidRPr="00DD0B23">
        <w:rPr>
          <w:rFonts w:ascii="Helvetica" w:eastAsia="Times New Roman" w:hAnsi="Helvetica" w:cs="Helvetica"/>
          <w:color w:val="333333"/>
          <w:spacing w:val="4"/>
          <w:sz w:val="24"/>
          <w:szCs w:val="24"/>
          <w:lang w:eastAsia="en-GB"/>
        </w:rPr>
        <w:t>aren’t able to</w:t>
      </w:r>
      <w:proofErr w:type="gramEnd"/>
      <w:r w:rsidRPr="00DD0B23">
        <w:rPr>
          <w:rFonts w:ascii="Helvetica" w:eastAsia="Times New Roman" w:hAnsi="Helvetica" w:cs="Helvetica"/>
          <w:color w:val="333333"/>
          <w:spacing w:val="4"/>
          <w:sz w:val="24"/>
          <w:szCs w:val="24"/>
          <w:lang w:eastAsia="en-GB"/>
        </w:rPr>
        <w:t xml:space="preserve"> calculate the real cost of these articles.</w:t>
      </w:r>
    </w:p>
    <w:p w14:paraId="0C942B13"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The number of articles for which an APC was paid has increased. This year, the average APC was £2,424 and the median was £2,250 – rises of 7% and 8% respectively compared with 2016/17.</w:t>
      </w:r>
    </w:p>
    <w:p w14:paraId="2B451D12"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We still see above inflation increases in APC prices each year. However, this year’s average price increase was smaller than in previous years.</w:t>
      </w:r>
    </w:p>
    <w:p w14:paraId="1578F29D" w14:textId="77777777" w:rsidR="00DD0B23" w:rsidRP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Table 1: APC spend for the years 2014-18</w:t>
      </w:r>
    </w:p>
    <w:tbl>
      <w:tblPr>
        <w:tblW w:w="7500" w:type="dxa"/>
        <w:tblCellMar>
          <w:left w:w="0" w:type="dxa"/>
          <w:right w:w="0" w:type="dxa"/>
        </w:tblCellMar>
        <w:tblLook w:val="04A0" w:firstRow="1" w:lastRow="0" w:firstColumn="1" w:lastColumn="0" w:noHBand="0" w:noVBand="1"/>
      </w:tblPr>
      <w:tblGrid>
        <w:gridCol w:w="3160"/>
        <w:gridCol w:w="1085"/>
        <w:gridCol w:w="1085"/>
        <w:gridCol w:w="1085"/>
        <w:gridCol w:w="1085"/>
      </w:tblGrid>
      <w:tr w:rsidR="00DD0B23" w:rsidRPr="00DD0B23" w14:paraId="77CDA70C" w14:textId="77777777" w:rsidTr="00DD0B23">
        <w:trPr>
          <w:tblHeader/>
        </w:trPr>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5C0037EA" w14:textId="77777777" w:rsidR="00DD0B23" w:rsidRPr="00DD0B23" w:rsidRDefault="00DD0B23" w:rsidP="00DD0B23">
            <w:pPr>
              <w:spacing w:after="0" w:line="240" w:lineRule="auto"/>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Item</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0F6E05C5"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2014/15</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0AE0106A"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2015/16</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50E26EAD"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2016/17</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19BCB738"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2017/18</w:t>
            </w:r>
          </w:p>
        </w:tc>
      </w:tr>
      <w:tr w:rsidR="00DD0B23" w:rsidRPr="00DD0B23" w14:paraId="552DA875"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78E710B"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Number of articles for which an APC was paid</w:t>
            </w:r>
          </w:p>
        </w:tc>
        <w:tc>
          <w:tcPr>
            <w:tcW w:w="0" w:type="auto"/>
            <w:tcBorders>
              <w:top w:val="outset" w:sz="2" w:space="0" w:color="auto"/>
              <w:left w:val="outset" w:sz="2" w:space="0" w:color="auto"/>
              <w:bottom w:val="single" w:sz="6" w:space="0" w:color="F2F2F2"/>
              <w:right w:val="outset" w:sz="2" w:space="0" w:color="auto"/>
            </w:tcBorders>
            <w:hideMark/>
          </w:tcPr>
          <w:p w14:paraId="1E938C3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2,942</w:t>
            </w:r>
          </w:p>
        </w:tc>
        <w:tc>
          <w:tcPr>
            <w:tcW w:w="0" w:type="auto"/>
            <w:tcBorders>
              <w:top w:val="outset" w:sz="2" w:space="0" w:color="auto"/>
              <w:left w:val="outset" w:sz="2" w:space="0" w:color="auto"/>
              <w:bottom w:val="single" w:sz="6" w:space="0" w:color="F2F2F2"/>
              <w:right w:val="outset" w:sz="2" w:space="0" w:color="auto"/>
            </w:tcBorders>
            <w:hideMark/>
          </w:tcPr>
          <w:p w14:paraId="1D77C07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3,552</w:t>
            </w:r>
          </w:p>
        </w:tc>
        <w:tc>
          <w:tcPr>
            <w:tcW w:w="0" w:type="auto"/>
            <w:tcBorders>
              <w:top w:val="outset" w:sz="2" w:space="0" w:color="auto"/>
              <w:left w:val="outset" w:sz="2" w:space="0" w:color="auto"/>
              <w:bottom w:val="single" w:sz="6" w:space="0" w:color="F2F2F2"/>
              <w:right w:val="outset" w:sz="2" w:space="0" w:color="auto"/>
            </w:tcBorders>
            <w:hideMark/>
          </w:tcPr>
          <w:p w14:paraId="161ECFC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3,474</w:t>
            </w:r>
          </w:p>
        </w:tc>
        <w:tc>
          <w:tcPr>
            <w:tcW w:w="0" w:type="auto"/>
            <w:tcBorders>
              <w:top w:val="outset" w:sz="2" w:space="0" w:color="auto"/>
              <w:left w:val="outset" w:sz="2" w:space="0" w:color="auto"/>
              <w:bottom w:val="single" w:sz="6" w:space="0" w:color="F2F2F2"/>
              <w:right w:val="outset" w:sz="2" w:space="0" w:color="auto"/>
            </w:tcBorders>
            <w:hideMark/>
          </w:tcPr>
          <w:p w14:paraId="3715AA2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3,601</w:t>
            </w:r>
          </w:p>
        </w:tc>
      </w:tr>
      <w:tr w:rsidR="00DD0B23" w:rsidRPr="00DD0B23" w14:paraId="554C688F"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3A467DF"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 cost of APCs</w:t>
            </w:r>
          </w:p>
        </w:tc>
        <w:tc>
          <w:tcPr>
            <w:tcW w:w="0" w:type="auto"/>
            <w:tcBorders>
              <w:top w:val="outset" w:sz="2" w:space="0" w:color="auto"/>
              <w:left w:val="outset" w:sz="2" w:space="0" w:color="auto"/>
              <w:bottom w:val="single" w:sz="6" w:space="0" w:color="F2F2F2"/>
              <w:right w:val="outset" w:sz="2" w:space="0" w:color="auto"/>
            </w:tcBorders>
            <w:hideMark/>
          </w:tcPr>
          <w:p w14:paraId="6531A7E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£5,629,970</w:t>
            </w:r>
          </w:p>
        </w:tc>
        <w:tc>
          <w:tcPr>
            <w:tcW w:w="0" w:type="auto"/>
            <w:tcBorders>
              <w:top w:val="outset" w:sz="2" w:space="0" w:color="auto"/>
              <w:left w:val="outset" w:sz="2" w:space="0" w:color="auto"/>
              <w:bottom w:val="single" w:sz="6" w:space="0" w:color="F2F2F2"/>
              <w:right w:val="outset" w:sz="2" w:space="0" w:color="auto"/>
            </w:tcBorders>
            <w:hideMark/>
          </w:tcPr>
          <w:p w14:paraId="3D035D9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£7,252,915</w:t>
            </w:r>
          </w:p>
        </w:tc>
        <w:tc>
          <w:tcPr>
            <w:tcW w:w="0" w:type="auto"/>
            <w:tcBorders>
              <w:top w:val="outset" w:sz="2" w:space="0" w:color="auto"/>
              <w:left w:val="outset" w:sz="2" w:space="0" w:color="auto"/>
              <w:bottom w:val="single" w:sz="6" w:space="0" w:color="F2F2F2"/>
              <w:right w:val="outset" w:sz="2" w:space="0" w:color="auto"/>
            </w:tcBorders>
            <w:hideMark/>
          </w:tcPr>
          <w:p w14:paraId="4529B8A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£7,881,899</w:t>
            </w:r>
          </w:p>
        </w:tc>
        <w:tc>
          <w:tcPr>
            <w:tcW w:w="0" w:type="auto"/>
            <w:tcBorders>
              <w:top w:val="outset" w:sz="2" w:space="0" w:color="auto"/>
              <w:left w:val="outset" w:sz="2" w:space="0" w:color="auto"/>
              <w:bottom w:val="single" w:sz="6" w:space="0" w:color="F2F2F2"/>
              <w:right w:val="outset" w:sz="2" w:space="0" w:color="auto"/>
            </w:tcBorders>
            <w:hideMark/>
          </w:tcPr>
          <w:p w14:paraId="6C9CC55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£8,729,201</w:t>
            </w:r>
          </w:p>
        </w:tc>
      </w:tr>
      <w:tr w:rsidR="00DD0B23" w:rsidRPr="00DD0B23" w14:paraId="5483C194"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6F5425D1"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 Wellcome/COAF spend on APCs (some APCs’ costs were split between COAF and another funder)</w:t>
            </w:r>
          </w:p>
        </w:tc>
        <w:tc>
          <w:tcPr>
            <w:tcW w:w="0" w:type="auto"/>
            <w:tcBorders>
              <w:top w:val="outset" w:sz="2" w:space="0" w:color="auto"/>
              <w:left w:val="outset" w:sz="2" w:space="0" w:color="auto"/>
              <w:bottom w:val="single" w:sz="6" w:space="0" w:color="F2F2F2"/>
              <w:right w:val="outset" w:sz="2" w:space="0" w:color="auto"/>
            </w:tcBorders>
            <w:hideMark/>
          </w:tcPr>
          <w:p w14:paraId="0A3BA40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£4,992,434</w:t>
            </w:r>
          </w:p>
        </w:tc>
        <w:tc>
          <w:tcPr>
            <w:tcW w:w="0" w:type="auto"/>
            <w:tcBorders>
              <w:top w:val="outset" w:sz="2" w:space="0" w:color="auto"/>
              <w:left w:val="outset" w:sz="2" w:space="0" w:color="auto"/>
              <w:bottom w:val="single" w:sz="6" w:space="0" w:color="F2F2F2"/>
              <w:right w:val="outset" w:sz="2" w:space="0" w:color="auto"/>
            </w:tcBorders>
            <w:hideMark/>
          </w:tcPr>
          <w:p w14:paraId="2D10B05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£6,600,690</w:t>
            </w:r>
          </w:p>
        </w:tc>
        <w:tc>
          <w:tcPr>
            <w:tcW w:w="0" w:type="auto"/>
            <w:tcBorders>
              <w:top w:val="outset" w:sz="2" w:space="0" w:color="auto"/>
              <w:left w:val="outset" w:sz="2" w:space="0" w:color="auto"/>
              <w:bottom w:val="single" w:sz="6" w:space="0" w:color="F2F2F2"/>
              <w:right w:val="outset" w:sz="2" w:space="0" w:color="auto"/>
            </w:tcBorders>
            <w:hideMark/>
          </w:tcPr>
          <w:p w14:paraId="7449762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£7,166,874</w:t>
            </w:r>
          </w:p>
        </w:tc>
        <w:tc>
          <w:tcPr>
            <w:tcW w:w="0" w:type="auto"/>
            <w:tcBorders>
              <w:top w:val="outset" w:sz="2" w:space="0" w:color="auto"/>
              <w:left w:val="outset" w:sz="2" w:space="0" w:color="auto"/>
              <w:bottom w:val="single" w:sz="6" w:space="0" w:color="F2F2F2"/>
              <w:right w:val="outset" w:sz="2" w:space="0" w:color="auto"/>
            </w:tcBorders>
            <w:hideMark/>
          </w:tcPr>
          <w:p w14:paraId="4146CF1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£7,458,045</w:t>
            </w:r>
          </w:p>
        </w:tc>
      </w:tr>
      <w:tr w:rsidR="00DD0B23" w:rsidRPr="00DD0B23" w14:paraId="2ACE1CFB"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DA64040"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Average APC for the total spend</w:t>
            </w:r>
          </w:p>
        </w:tc>
        <w:tc>
          <w:tcPr>
            <w:tcW w:w="0" w:type="auto"/>
            <w:tcBorders>
              <w:top w:val="outset" w:sz="2" w:space="0" w:color="auto"/>
              <w:left w:val="outset" w:sz="2" w:space="0" w:color="auto"/>
              <w:bottom w:val="single" w:sz="6" w:space="0" w:color="F2F2F2"/>
              <w:right w:val="outset" w:sz="2" w:space="0" w:color="auto"/>
            </w:tcBorders>
            <w:hideMark/>
          </w:tcPr>
          <w:p w14:paraId="4DFBD04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£1,914</w:t>
            </w:r>
          </w:p>
        </w:tc>
        <w:tc>
          <w:tcPr>
            <w:tcW w:w="0" w:type="auto"/>
            <w:tcBorders>
              <w:top w:val="outset" w:sz="2" w:space="0" w:color="auto"/>
              <w:left w:val="outset" w:sz="2" w:space="0" w:color="auto"/>
              <w:bottom w:val="single" w:sz="6" w:space="0" w:color="F2F2F2"/>
              <w:right w:val="outset" w:sz="2" w:space="0" w:color="auto"/>
            </w:tcBorders>
            <w:hideMark/>
          </w:tcPr>
          <w:p w14:paraId="50715B3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£2,044</w:t>
            </w:r>
          </w:p>
        </w:tc>
        <w:tc>
          <w:tcPr>
            <w:tcW w:w="0" w:type="auto"/>
            <w:tcBorders>
              <w:top w:val="outset" w:sz="2" w:space="0" w:color="auto"/>
              <w:left w:val="outset" w:sz="2" w:space="0" w:color="auto"/>
              <w:bottom w:val="single" w:sz="6" w:space="0" w:color="F2F2F2"/>
              <w:right w:val="outset" w:sz="2" w:space="0" w:color="auto"/>
            </w:tcBorders>
            <w:hideMark/>
          </w:tcPr>
          <w:p w14:paraId="27C5A57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£2,269</w:t>
            </w:r>
          </w:p>
        </w:tc>
        <w:tc>
          <w:tcPr>
            <w:tcW w:w="0" w:type="auto"/>
            <w:tcBorders>
              <w:top w:val="outset" w:sz="2" w:space="0" w:color="auto"/>
              <w:left w:val="outset" w:sz="2" w:space="0" w:color="auto"/>
              <w:bottom w:val="single" w:sz="6" w:space="0" w:color="F2F2F2"/>
              <w:right w:val="outset" w:sz="2" w:space="0" w:color="auto"/>
            </w:tcBorders>
            <w:hideMark/>
          </w:tcPr>
          <w:p w14:paraId="6468FD6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£2,424</w:t>
            </w:r>
          </w:p>
        </w:tc>
      </w:tr>
      <w:tr w:rsidR="00DD0B23" w:rsidRPr="00DD0B23" w14:paraId="0C1064D4"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403A8461"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Median APC</w:t>
            </w:r>
            <w:r w:rsidRPr="00DD0B23">
              <w:rPr>
                <w:rFonts w:ascii="Times New Roman" w:eastAsia="Times New Roman" w:hAnsi="Times New Roman" w:cs="Times New Roman"/>
                <w:b/>
                <w:bCs/>
                <w:color w:val="333333"/>
                <w:sz w:val="16"/>
                <w:szCs w:val="16"/>
                <w:lang w:eastAsia="en-GB"/>
              </w:rPr>
              <w:t> </w:t>
            </w:r>
            <w:r w:rsidRPr="00DD0B23">
              <w:rPr>
                <w:rFonts w:ascii="Times New Roman" w:eastAsia="Times New Roman" w:hAnsi="Times New Roman" w:cs="Times New Roman"/>
                <w:b/>
                <w:bCs/>
                <w:color w:val="333333"/>
                <w:sz w:val="24"/>
                <w:szCs w:val="24"/>
                <w:lang w:eastAsia="en-GB"/>
              </w:rPr>
              <w:t>for the total spend</w:t>
            </w:r>
          </w:p>
        </w:tc>
        <w:tc>
          <w:tcPr>
            <w:tcW w:w="0" w:type="auto"/>
            <w:tcBorders>
              <w:top w:val="outset" w:sz="2" w:space="0" w:color="auto"/>
              <w:left w:val="outset" w:sz="2" w:space="0" w:color="auto"/>
              <w:bottom w:val="single" w:sz="6" w:space="0" w:color="F2F2F2"/>
              <w:right w:val="outset" w:sz="2" w:space="0" w:color="auto"/>
            </w:tcBorders>
            <w:hideMark/>
          </w:tcPr>
          <w:p w14:paraId="1FF543C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£1,834</w:t>
            </w:r>
          </w:p>
        </w:tc>
        <w:tc>
          <w:tcPr>
            <w:tcW w:w="0" w:type="auto"/>
            <w:tcBorders>
              <w:top w:val="outset" w:sz="2" w:space="0" w:color="auto"/>
              <w:left w:val="outset" w:sz="2" w:space="0" w:color="auto"/>
              <w:bottom w:val="single" w:sz="6" w:space="0" w:color="F2F2F2"/>
              <w:right w:val="outset" w:sz="2" w:space="0" w:color="auto"/>
            </w:tcBorders>
            <w:hideMark/>
          </w:tcPr>
          <w:p w14:paraId="1F34CD4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£1,944</w:t>
            </w:r>
          </w:p>
        </w:tc>
        <w:tc>
          <w:tcPr>
            <w:tcW w:w="0" w:type="auto"/>
            <w:tcBorders>
              <w:top w:val="outset" w:sz="2" w:space="0" w:color="auto"/>
              <w:left w:val="outset" w:sz="2" w:space="0" w:color="auto"/>
              <w:bottom w:val="single" w:sz="6" w:space="0" w:color="F2F2F2"/>
              <w:right w:val="outset" w:sz="2" w:space="0" w:color="auto"/>
            </w:tcBorders>
            <w:hideMark/>
          </w:tcPr>
          <w:p w14:paraId="47B4F7C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£2,081</w:t>
            </w:r>
          </w:p>
        </w:tc>
        <w:tc>
          <w:tcPr>
            <w:tcW w:w="0" w:type="auto"/>
            <w:tcBorders>
              <w:top w:val="outset" w:sz="2" w:space="0" w:color="auto"/>
              <w:left w:val="outset" w:sz="2" w:space="0" w:color="auto"/>
              <w:bottom w:val="single" w:sz="6" w:space="0" w:color="F2F2F2"/>
              <w:right w:val="outset" w:sz="2" w:space="0" w:color="auto"/>
            </w:tcBorders>
            <w:hideMark/>
          </w:tcPr>
          <w:p w14:paraId="0492BAA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£2,250</w:t>
            </w:r>
          </w:p>
        </w:tc>
      </w:tr>
    </w:tbl>
    <w:p w14:paraId="6BF8D4A8"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w:t>
      </w:r>
    </w:p>
    <w:p w14:paraId="44032159"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Our analysis splits journals into fully OA journals (in which every article is made OA – for example PLOS One or Nature Communications) and hybrid journals (which are published under a subscription model, but where individual articles can be made OA).</w:t>
      </w:r>
    </w:p>
    <w:p w14:paraId="472337F6"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Table 2 provides a breakdown of the number of publications and average and median prices by publication type.</w:t>
      </w:r>
    </w:p>
    <w:p w14:paraId="2D26B009" w14:textId="77777777" w:rsidR="00DD0B23" w:rsidRP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Table 2: APC spend by publication type, 2015-18</w:t>
      </w:r>
    </w:p>
    <w:tbl>
      <w:tblPr>
        <w:tblW w:w="7500" w:type="dxa"/>
        <w:tblCellMar>
          <w:left w:w="0" w:type="dxa"/>
          <w:right w:w="0" w:type="dxa"/>
        </w:tblCellMar>
        <w:tblLook w:val="04A0" w:firstRow="1" w:lastRow="0" w:firstColumn="1" w:lastColumn="0" w:noHBand="0" w:noVBand="1"/>
      </w:tblPr>
      <w:tblGrid>
        <w:gridCol w:w="1717"/>
        <w:gridCol w:w="963"/>
        <w:gridCol w:w="964"/>
        <w:gridCol w:w="964"/>
        <w:gridCol w:w="964"/>
        <w:gridCol w:w="964"/>
        <w:gridCol w:w="964"/>
      </w:tblGrid>
      <w:tr w:rsidR="00DD0B23" w:rsidRPr="00DD0B23" w14:paraId="2786B945" w14:textId="77777777" w:rsidTr="00DD0B23">
        <w:trPr>
          <w:tblHeader/>
        </w:trPr>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403C10AD" w14:textId="77777777" w:rsidR="00DD0B23" w:rsidRPr="00DD0B23" w:rsidRDefault="00DD0B23" w:rsidP="00DD0B23">
            <w:pPr>
              <w:spacing w:after="0" w:line="240" w:lineRule="auto"/>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 </w:t>
            </w:r>
          </w:p>
        </w:tc>
        <w:tc>
          <w:tcPr>
            <w:tcW w:w="0" w:type="auto"/>
            <w:gridSpan w:val="3"/>
            <w:tcBorders>
              <w:top w:val="outset" w:sz="2" w:space="0" w:color="auto"/>
              <w:left w:val="outset" w:sz="2" w:space="0" w:color="auto"/>
              <w:bottom w:val="single" w:sz="6" w:space="0" w:color="FFFFFF"/>
              <w:right w:val="outset" w:sz="2" w:space="0" w:color="auto"/>
            </w:tcBorders>
            <w:shd w:val="clear" w:color="auto" w:fill="002E45"/>
            <w:vAlign w:val="center"/>
            <w:hideMark/>
          </w:tcPr>
          <w:p w14:paraId="5B589AA8" w14:textId="77777777" w:rsidR="00DD0B23" w:rsidRPr="00DD0B23" w:rsidRDefault="00DD0B23" w:rsidP="00DD0B23">
            <w:pPr>
              <w:spacing w:after="0" w:line="240" w:lineRule="auto"/>
              <w:jc w:val="center"/>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Fully OA journals</w:t>
            </w:r>
          </w:p>
        </w:tc>
        <w:tc>
          <w:tcPr>
            <w:tcW w:w="0" w:type="auto"/>
            <w:gridSpan w:val="3"/>
            <w:tcBorders>
              <w:top w:val="outset" w:sz="2" w:space="0" w:color="auto"/>
              <w:left w:val="outset" w:sz="2" w:space="0" w:color="auto"/>
              <w:bottom w:val="single" w:sz="6" w:space="0" w:color="FFFFFF"/>
              <w:right w:val="outset" w:sz="2" w:space="0" w:color="auto"/>
            </w:tcBorders>
            <w:shd w:val="clear" w:color="auto" w:fill="002E45"/>
            <w:vAlign w:val="center"/>
            <w:hideMark/>
          </w:tcPr>
          <w:p w14:paraId="713208C1" w14:textId="77777777" w:rsidR="00DD0B23" w:rsidRPr="00DD0B23" w:rsidRDefault="00DD0B23" w:rsidP="00DD0B23">
            <w:pPr>
              <w:spacing w:after="0" w:line="240" w:lineRule="auto"/>
              <w:jc w:val="center"/>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Hybrid journals</w:t>
            </w:r>
          </w:p>
        </w:tc>
      </w:tr>
      <w:tr w:rsidR="00DD0B23" w:rsidRPr="00DD0B23" w14:paraId="7EA8167C"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767E47EE"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Year</w:t>
            </w:r>
          </w:p>
        </w:tc>
        <w:tc>
          <w:tcPr>
            <w:tcW w:w="0" w:type="auto"/>
            <w:tcBorders>
              <w:top w:val="outset" w:sz="2" w:space="0" w:color="auto"/>
              <w:left w:val="outset" w:sz="2" w:space="0" w:color="auto"/>
              <w:bottom w:val="single" w:sz="6" w:space="0" w:color="F2F2F2"/>
              <w:right w:val="outset" w:sz="2" w:space="0" w:color="auto"/>
            </w:tcBorders>
            <w:hideMark/>
          </w:tcPr>
          <w:p w14:paraId="659A7AA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2015/16</w:t>
            </w:r>
          </w:p>
        </w:tc>
        <w:tc>
          <w:tcPr>
            <w:tcW w:w="0" w:type="auto"/>
            <w:tcBorders>
              <w:top w:val="outset" w:sz="2" w:space="0" w:color="auto"/>
              <w:left w:val="outset" w:sz="2" w:space="0" w:color="auto"/>
              <w:bottom w:val="single" w:sz="6" w:space="0" w:color="F2F2F2"/>
              <w:right w:val="outset" w:sz="2" w:space="0" w:color="auto"/>
            </w:tcBorders>
            <w:hideMark/>
          </w:tcPr>
          <w:p w14:paraId="726163E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2016/17</w:t>
            </w:r>
          </w:p>
        </w:tc>
        <w:tc>
          <w:tcPr>
            <w:tcW w:w="0" w:type="auto"/>
            <w:tcBorders>
              <w:top w:val="outset" w:sz="2" w:space="0" w:color="auto"/>
              <w:left w:val="outset" w:sz="2" w:space="0" w:color="auto"/>
              <w:bottom w:val="single" w:sz="6" w:space="0" w:color="F2F2F2"/>
              <w:right w:val="outset" w:sz="2" w:space="0" w:color="auto"/>
            </w:tcBorders>
            <w:hideMark/>
          </w:tcPr>
          <w:p w14:paraId="1D42E7C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2017/18</w:t>
            </w:r>
          </w:p>
        </w:tc>
        <w:tc>
          <w:tcPr>
            <w:tcW w:w="0" w:type="auto"/>
            <w:tcBorders>
              <w:top w:val="outset" w:sz="2" w:space="0" w:color="auto"/>
              <w:left w:val="outset" w:sz="2" w:space="0" w:color="auto"/>
              <w:bottom w:val="single" w:sz="6" w:space="0" w:color="F2F2F2"/>
              <w:right w:val="outset" w:sz="2" w:space="0" w:color="auto"/>
            </w:tcBorders>
            <w:hideMark/>
          </w:tcPr>
          <w:p w14:paraId="2AC2297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2015/16</w:t>
            </w:r>
          </w:p>
        </w:tc>
        <w:tc>
          <w:tcPr>
            <w:tcW w:w="0" w:type="auto"/>
            <w:tcBorders>
              <w:top w:val="outset" w:sz="2" w:space="0" w:color="auto"/>
              <w:left w:val="outset" w:sz="2" w:space="0" w:color="auto"/>
              <w:bottom w:val="single" w:sz="6" w:space="0" w:color="F2F2F2"/>
              <w:right w:val="outset" w:sz="2" w:space="0" w:color="auto"/>
            </w:tcBorders>
            <w:hideMark/>
          </w:tcPr>
          <w:p w14:paraId="75BC825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2016/17</w:t>
            </w:r>
          </w:p>
        </w:tc>
        <w:tc>
          <w:tcPr>
            <w:tcW w:w="0" w:type="auto"/>
            <w:tcBorders>
              <w:top w:val="outset" w:sz="2" w:space="0" w:color="auto"/>
              <w:left w:val="outset" w:sz="2" w:space="0" w:color="auto"/>
              <w:bottom w:val="single" w:sz="6" w:space="0" w:color="F2F2F2"/>
              <w:right w:val="outset" w:sz="2" w:space="0" w:color="auto"/>
            </w:tcBorders>
            <w:hideMark/>
          </w:tcPr>
          <w:p w14:paraId="5BE1C0A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2017/18</w:t>
            </w:r>
          </w:p>
        </w:tc>
      </w:tr>
      <w:tr w:rsidR="00DD0B23" w:rsidRPr="00DD0B23" w14:paraId="1C49EEBC"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11739B1F"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Article count</w:t>
            </w:r>
          </w:p>
        </w:tc>
        <w:tc>
          <w:tcPr>
            <w:tcW w:w="0" w:type="auto"/>
            <w:tcBorders>
              <w:top w:val="outset" w:sz="2" w:space="0" w:color="auto"/>
              <w:left w:val="outset" w:sz="2" w:space="0" w:color="auto"/>
              <w:bottom w:val="single" w:sz="6" w:space="0" w:color="F2F2F2"/>
              <w:right w:val="outset" w:sz="2" w:space="0" w:color="auto"/>
            </w:tcBorders>
            <w:hideMark/>
          </w:tcPr>
          <w:p w14:paraId="1B12A25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1,038</w:t>
            </w:r>
          </w:p>
        </w:tc>
        <w:tc>
          <w:tcPr>
            <w:tcW w:w="0" w:type="auto"/>
            <w:tcBorders>
              <w:top w:val="outset" w:sz="2" w:space="0" w:color="auto"/>
              <w:left w:val="outset" w:sz="2" w:space="0" w:color="auto"/>
              <w:bottom w:val="single" w:sz="6" w:space="0" w:color="F2F2F2"/>
              <w:right w:val="outset" w:sz="2" w:space="0" w:color="auto"/>
            </w:tcBorders>
            <w:hideMark/>
          </w:tcPr>
          <w:p w14:paraId="34EAD8A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1,037</w:t>
            </w:r>
          </w:p>
        </w:tc>
        <w:tc>
          <w:tcPr>
            <w:tcW w:w="0" w:type="auto"/>
            <w:tcBorders>
              <w:top w:val="outset" w:sz="2" w:space="0" w:color="auto"/>
              <w:left w:val="outset" w:sz="2" w:space="0" w:color="auto"/>
              <w:bottom w:val="single" w:sz="6" w:space="0" w:color="F2F2F2"/>
              <w:right w:val="outset" w:sz="2" w:space="0" w:color="auto"/>
            </w:tcBorders>
            <w:hideMark/>
          </w:tcPr>
          <w:p w14:paraId="3086012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1,154</w:t>
            </w:r>
          </w:p>
        </w:tc>
        <w:tc>
          <w:tcPr>
            <w:tcW w:w="0" w:type="auto"/>
            <w:tcBorders>
              <w:top w:val="outset" w:sz="2" w:space="0" w:color="auto"/>
              <w:left w:val="outset" w:sz="2" w:space="0" w:color="auto"/>
              <w:bottom w:val="single" w:sz="6" w:space="0" w:color="F2F2F2"/>
              <w:right w:val="outset" w:sz="2" w:space="0" w:color="auto"/>
            </w:tcBorders>
            <w:hideMark/>
          </w:tcPr>
          <w:p w14:paraId="1FE69BB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2,514</w:t>
            </w:r>
          </w:p>
        </w:tc>
        <w:tc>
          <w:tcPr>
            <w:tcW w:w="0" w:type="auto"/>
            <w:tcBorders>
              <w:top w:val="outset" w:sz="2" w:space="0" w:color="auto"/>
              <w:left w:val="outset" w:sz="2" w:space="0" w:color="auto"/>
              <w:bottom w:val="single" w:sz="6" w:space="0" w:color="F2F2F2"/>
              <w:right w:val="outset" w:sz="2" w:space="0" w:color="auto"/>
            </w:tcBorders>
            <w:hideMark/>
          </w:tcPr>
          <w:p w14:paraId="6CEFB86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2,437</w:t>
            </w:r>
          </w:p>
        </w:tc>
        <w:tc>
          <w:tcPr>
            <w:tcW w:w="0" w:type="auto"/>
            <w:tcBorders>
              <w:top w:val="outset" w:sz="2" w:space="0" w:color="auto"/>
              <w:left w:val="outset" w:sz="2" w:space="0" w:color="auto"/>
              <w:bottom w:val="single" w:sz="6" w:space="0" w:color="F2F2F2"/>
              <w:right w:val="outset" w:sz="2" w:space="0" w:color="auto"/>
            </w:tcBorders>
            <w:hideMark/>
          </w:tcPr>
          <w:p w14:paraId="438339B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2,447</w:t>
            </w:r>
          </w:p>
        </w:tc>
      </w:tr>
      <w:tr w:rsidR="00DD0B23" w:rsidRPr="00DD0B23" w14:paraId="339B4866"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B586030"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Average APC</w:t>
            </w:r>
          </w:p>
        </w:tc>
        <w:tc>
          <w:tcPr>
            <w:tcW w:w="0" w:type="auto"/>
            <w:tcBorders>
              <w:top w:val="outset" w:sz="2" w:space="0" w:color="auto"/>
              <w:left w:val="outset" w:sz="2" w:space="0" w:color="auto"/>
              <w:bottom w:val="single" w:sz="6" w:space="0" w:color="F2F2F2"/>
              <w:right w:val="outset" w:sz="2" w:space="0" w:color="auto"/>
            </w:tcBorders>
            <w:hideMark/>
          </w:tcPr>
          <w:p w14:paraId="686EECA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£1,644</w:t>
            </w:r>
          </w:p>
        </w:tc>
        <w:tc>
          <w:tcPr>
            <w:tcW w:w="0" w:type="auto"/>
            <w:tcBorders>
              <w:top w:val="outset" w:sz="2" w:space="0" w:color="auto"/>
              <w:left w:val="outset" w:sz="2" w:space="0" w:color="auto"/>
              <w:bottom w:val="single" w:sz="6" w:space="0" w:color="F2F2F2"/>
              <w:right w:val="outset" w:sz="2" w:space="0" w:color="auto"/>
            </w:tcBorders>
            <w:hideMark/>
          </w:tcPr>
          <w:p w14:paraId="0278922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£1,943</w:t>
            </w:r>
          </w:p>
        </w:tc>
        <w:tc>
          <w:tcPr>
            <w:tcW w:w="0" w:type="auto"/>
            <w:tcBorders>
              <w:top w:val="outset" w:sz="2" w:space="0" w:color="auto"/>
              <w:left w:val="outset" w:sz="2" w:space="0" w:color="auto"/>
              <w:bottom w:val="single" w:sz="6" w:space="0" w:color="F2F2F2"/>
              <w:right w:val="outset" w:sz="2" w:space="0" w:color="auto"/>
            </w:tcBorders>
            <w:hideMark/>
          </w:tcPr>
          <w:p w14:paraId="668B24A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£2,090</w:t>
            </w:r>
          </w:p>
        </w:tc>
        <w:tc>
          <w:tcPr>
            <w:tcW w:w="0" w:type="auto"/>
            <w:tcBorders>
              <w:top w:val="outset" w:sz="2" w:space="0" w:color="auto"/>
              <w:left w:val="outset" w:sz="2" w:space="0" w:color="auto"/>
              <w:bottom w:val="single" w:sz="6" w:space="0" w:color="F2F2F2"/>
              <w:right w:val="outset" w:sz="2" w:space="0" w:color="auto"/>
            </w:tcBorders>
            <w:hideMark/>
          </w:tcPr>
          <w:p w14:paraId="0309EFA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£2,209</w:t>
            </w:r>
          </w:p>
        </w:tc>
        <w:tc>
          <w:tcPr>
            <w:tcW w:w="0" w:type="auto"/>
            <w:tcBorders>
              <w:top w:val="outset" w:sz="2" w:space="0" w:color="auto"/>
              <w:left w:val="outset" w:sz="2" w:space="0" w:color="auto"/>
              <w:bottom w:val="single" w:sz="6" w:space="0" w:color="F2F2F2"/>
              <w:right w:val="outset" w:sz="2" w:space="0" w:color="auto"/>
            </w:tcBorders>
            <w:hideMark/>
          </w:tcPr>
          <w:p w14:paraId="2F3B304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£2,401</w:t>
            </w:r>
          </w:p>
        </w:tc>
        <w:tc>
          <w:tcPr>
            <w:tcW w:w="0" w:type="auto"/>
            <w:tcBorders>
              <w:top w:val="outset" w:sz="2" w:space="0" w:color="auto"/>
              <w:left w:val="outset" w:sz="2" w:space="0" w:color="auto"/>
              <w:bottom w:val="single" w:sz="6" w:space="0" w:color="F2F2F2"/>
              <w:right w:val="outset" w:sz="2" w:space="0" w:color="auto"/>
            </w:tcBorders>
            <w:hideMark/>
          </w:tcPr>
          <w:p w14:paraId="0CB9165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£2,581</w:t>
            </w:r>
          </w:p>
        </w:tc>
      </w:tr>
      <w:tr w:rsidR="00DD0B23" w:rsidRPr="00DD0B23" w14:paraId="0F27CA14"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67353264"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Median APC</w:t>
            </w:r>
          </w:p>
        </w:tc>
        <w:tc>
          <w:tcPr>
            <w:tcW w:w="0" w:type="auto"/>
            <w:tcBorders>
              <w:top w:val="outset" w:sz="2" w:space="0" w:color="auto"/>
              <w:left w:val="outset" w:sz="2" w:space="0" w:color="auto"/>
              <w:bottom w:val="single" w:sz="6" w:space="0" w:color="F2F2F2"/>
              <w:right w:val="outset" w:sz="2" w:space="0" w:color="auto"/>
            </w:tcBorders>
            <w:hideMark/>
          </w:tcPr>
          <w:p w14:paraId="7EDB0F2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£1,397</w:t>
            </w:r>
          </w:p>
        </w:tc>
        <w:tc>
          <w:tcPr>
            <w:tcW w:w="0" w:type="auto"/>
            <w:tcBorders>
              <w:top w:val="outset" w:sz="2" w:space="0" w:color="auto"/>
              <w:left w:val="outset" w:sz="2" w:space="0" w:color="auto"/>
              <w:bottom w:val="single" w:sz="6" w:space="0" w:color="F2F2F2"/>
              <w:right w:val="outset" w:sz="2" w:space="0" w:color="auto"/>
            </w:tcBorders>
            <w:hideMark/>
          </w:tcPr>
          <w:p w14:paraId="34E1296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£1,564</w:t>
            </w:r>
          </w:p>
        </w:tc>
        <w:tc>
          <w:tcPr>
            <w:tcW w:w="0" w:type="auto"/>
            <w:tcBorders>
              <w:top w:val="outset" w:sz="2" w:space="0" w:color="auto"/>
              <w:left w:val="outset" w:sz="2" w:space="0" w:color="auto"/>
              <w:bottom w:val="single" w:sz="6" w:space="0" w:color="F2F2F2"/>
              <w:right w:val="outset" w:sz="2" w:space="0" w:color="auto"/>
            </w:tcBorders>
            <w:hideMark/>
          </w:tcPr>
          <w:p w14:paraId="3CFF27E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£1,656</w:t>
            </w:r>
          </w:p>
        </w:tc>
        <w:tc>
          <w:tcPr>
            <w:tcW w:w="0" w:type="auto"/>
            <w:tcBorders>
              <w:top w:val="outset" w:sz="2" w:space="0" w:color="auto"/>
              <w:left w:val="outset" w:sz="2" w:space="0" w:color="auto"/>
              <w:bottom w:val="single" w:sz="6" w:space="0" w:color="F2F2F2"/>
              <w:right w:val="outset" w:sz="2" w:space="0" w:color="auto"/>
            </w:tcBorders>
            <w:hideMark/>
          </w:tcPr>
          <w:p w14:paraId="23AB3CB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£2,125</w:t>
            </w:r>
          </w:p>
        </w:tc>
        <w:tc>
          <w:tcPr>
            <w:tcW w:w="0" w:type="auto"/>
            <w:tcBorders>
              <w:top w:val="outset" w:sz="2" w:space="0" w:color="auto"/>
              <w:left w:val="outset" w:sz="2" w:space="0" w:color="auto"/>
              <w:bottom w:val="single" w:sz="6" w:space="0" w:color="F2F2F2"/>
              <w:right w:val="outset" w:sz="2" w:space="0" w:color="auto"/>
            </w:tcBorders>
            <w:hideMark/>
          </w:tcPr>
          <w:p w14:paraId="7B45D46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£2,304</w:t>
            </w:r>
          </w:p>
        </w:tc>
        <w:tc>
          <w:tcPr>
            <w:tcW w:w="0" w:type="auto"/>
            <w:tcBorders>
              <w:top w:val="outset" w:sz="2" w:space="0" w:color="auto"/>
              <w:left w:val="outset" w:sz="2" w:space="0" w:color="auto"/>
              <w:bottom w:val="single" w:sz="6" w:space="0" w:color="F2F2F2"/>
              <w:right w:val="outset" w:sz="2" w:space="0" w:color="auto"/>
            </w:tcBorders>
            <w:hideMark/>
          </w:tcPr>
          <w:p w14:paraId="40F1968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£2,400</w:t>
            </w:r>
          </w:p>
        </w:tc>
      </w:tr>
    </w:tbl>
    <w:p w14:paraId="0480145F"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w:t>
      </w:r>
    </w:p>
    <w:p w14:paraId="409A2F58"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Publication in hybrid journals remains the predominant publication route for COAF-funded researchers, with 68% of articles for which an APC was levied published this way. Hybrid journals continue to be more expensive, with an average APC of £2,581 compared with £2,090 for fully OA journals.</w:t>
      </w:r>
    </w:p>
    <w:p w14:paraId="76170A99"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xml:space="preserve">Opposite to last year, the difference in the average APC of the two journal types increased – with the average price of hybrid journals rising faster than for fully OA journals. This year we saw average and median increases of 6% and 6% </w:t>
      </w:r>
      <w:r w:rsidRPr="00DD0B23">
        <w:rPr>
          <w:rFonts w:ascii="Helvetica" w:eastAsia="Times New Roman" w:hAnsi="Helvetica" w:cs="Helvetica"/>
          <w:color w:val="333333"/>
          <w:spacing w:val="4"/>
          <w:sz w:val="24"/>
          <w:szCs w:val="24"/>
          <w:lang w:eastAsia="en-GB"/>
        </w:rPr>
        <w:lastRenderedPageBreak/>
        <w:t>respectively for fully OA journals, versus average and median increases of 7% and 5% for hybrid journals.</w:t>
      </w:r>
    </w:p>
    <w:p w14:paraId="6CFE824B"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Again, we are seeing a small number of high-priced, fully OA journals contribute to the average APC increase for this type of publication. More than 15% of the fully OA articles are published in the more expensive fully OA journals, such as Nature Communications (£3,490), Cell Reports ($5,200), and The Lancet Global Health ($5,000). If we remove these titles from our cost analysis of fully OA APCs, we observe the average and median to be £1,698 and £1,469 respectively.</w:t>
      </w:r>
    </w:p>
    <w:p w14:paraId="7AD97B0B"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We have also analysed the APC costs associated with publisher schemes – including read and publish, offsetting, prepayment, discount and membership schemes (see table 3). These will become more common as organisations make their content OA in future. This year, 23 organisations gave us data about their publisher schemes. 683 articles (19% of the total reported by these organisations) benefitted from some form of publisher scheme – for these articles the average APC was £1,617.</w:t>
      </w:r>
    </w:p>
    <w:p w14:paraId="04524252" w14:textId="77777777" w:rsidR="00DD0B23" w:rsidRP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Table 3: articles benefitting from read and publish, offsetting, prepayment, discount and membership schemes, 2016-18</w:t>
      </w:r>
    </w:p>
    <w:tbl>
      <w:tblPr>
        <w:tblW w:w="7500" w:type="dxa"/>
        <w:tblCellMar>
          <w:left w:w="0" w:type="dxa"/>
          <w:right w:w="0" w:type="dxa"/>
        </w:tblCellMar>
        <w:tblLook w:val="04A0" w:firstRow="1" w:lastRow="0" w:firstColumn="1" w:lastColumn="0" w:noHBand="0" w:noVBand="1"/>
      </w:tblPr>
      <w:tblGrid>
        <w:gridCol w:w="1872"/>
        <w:gridCol w:w="866"/>
        <w:gridCol w:w="862"/>
        <w:gridCol w:w="1086"/>
        <w:gridCol w:w="866"/>
        <w:gridCol w:w="862"/>
        <w:gridCol w:w="1086"/>
      </w:tblGrid>
      <w:tr w:rsidR="00DD0B23" w:rsidRPr="00DD0B23" w14:paraId="4CABB18D" w14:textId="77777777" w:rsidTr="00DD0B23">
        <w:trPr>
          <w:tblHeader/>
        </w:trPr>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62C6F7DD" w14:textId="77777777" w:rsidR="00DD0B23" w:rsidRPr="00DD0B23" w:rsidRDefault="00DD0B23" w:rsidP="00DD0B23">
            <w:pPr>
              <w:spacing w:after="0" w:line="240" w:lineRule="auto"/>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 </w:t>
            </w:r>
          </w:p>
        </w:tc>
        <w:tc>
          <w:tcPr>
            <w:tcW w:w="0" w:type="auto"/>
            <w:gridSpan w:val="3"/>
            <w:tcBorders>
              <w:top w:val="outset" w:sz="2" w:space="0" w:color="auto"/>
              <w:left w:val="outset" w:sz="2" w:space="0" w:color="auto"/>
              <w:bottom w:val="single" w:sz="6" w:space="0" w:color="FFFFFF"/>
              <w:right w:val="outset" w:sz="2" w:space="0" w:color="auto"/>
            </w:tcBorders>
            <w:shd w:val="clear" w:color="auto" w:fill="002E45"/>
            <w:vAlign w:val="center"/>
            <w:hideMark/>
          </w:tcPr>
          <w:p w14:paraId="061FBC58" w14:textId="77777777" w:rsidR="00DD0B23" w:rsidRPr="00DD0B23" w:rsidRDefault="00DD0B23" w:rsidP="00DD0B23">
            <w:pPr>
              <w:spacing w:after="0" w:line="240" w:lineRule="auto"/>
              <w:jc w:val="center"/>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2016/17</w:t>
            </w:r>
          </w:p>
        </w:tc>
        <w:tc>
          <w:tcPr>
            <w:tcW w:w="0" w:type="auto"/>
            <w:gridSpan w:val="3"/>
            <w:tcBorders>
              <w:top w:val="outset" w:sz="2" w:space="0" w:color="auto"/>
              <w:left w:val="outset" w:sz="2" w:space="0" w:color="auto"/>
              <w:bottom w:val="single" w:sz="6" w:space="0" w:color="FFFFFF"/>
              <w:right w:val="outset" w:sz="2" w:space="0" w:color="auto"/>
            </w:tcBorders>
            <w:shd w:val="clear" w:color="auto" w:fill="002E45"/>
            <w:vAlign w:val="center"/>
            <w:hideMark/>
          </w:tcPr>
          <w:p w14:paraId="0A893465" w14:textId="77777777" w:rsidR="00DD0B23" w:rsidRPr="00DD0B23" w:rsidRDefault="00DD0B23" w:rsidP="00DD0B23">
            <w:pPr>
              <w:spacing w:after="0" w:line="240" w:lineRule="auto"/>
              <w:jc w:val="center"/>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2017/18</w:t>
            </w:r>
          </w:p>
        </w:tc>
      </w:tr>
      <w:tr w:rsidR="00DD0B23" w:rsidRPr="00DD0B23" w14:paraId="1EBC0CF0"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71C7442A"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048EE63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Number of articles</w:t>
            </w:r>
          </w:p>
        </w:tc>
        <w:tc>
          <w:tcPr>
            <w:tcW w:w="0" w:type="auto"/>
            <w:tcBorders>
              <w:top w:val="outset" w:sz="2" w:space="0" w:color="auto"/>
              <w:left w:val="outset" w:sz="2" w:space="0" w:color="auto"/>
              <w:bottom w:val="single" w:sz="6" w:space="0" w:color="F2F2F2"/>
              <w:right w:val="outset" w:sz="2" w:space="0" w:color="auto"/>
            </w:tcBorders>
            <w:hideMark/>
          </w:tcPr>
          <w:p w14:paraId="79226F4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Average APC</w:t>
            </w:r>
          </w:p>
        </w:tc>
        <w:tc>
          <w:tcPr>
            <w:tcW w:w="0" w:type="auto"/>
            <w:tcBorders>
              <w:top w:val="outset" w:sz="2" w:space="0" w:color="auto"/>
              <w:left w:val="outset" w:sz="2" w:space="0" w:color="auto"/>
              <w:bottom w:val="single" w:sz="6" w:space="0" w:color="F2F2F2"/>
              <w:right w:val="outset" w:sz="2" w:space="0" w:color="auto"/>
            </w:tcBorders>
            <w:hideMark/>
          </w:tcPr>
          <w:p w14:paraId="3913991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Total spend</w:t>
            </w:r>
          </w:p>
        </w:tc>
        <w:tc>
          <w:tcPr>
            <w:tcW w:w="0" w:type="auto"/>
            <w:tcBorders>
              <w:top w:val="outset" w:sz="2" w:space="0" w:color="auto"/>
              <w:left w:val="outset" w:sz="2" w:space="0" w:color="auto"/>
              <w:bottom w:val="single" w:sz="6" w:space="0" w:color="F2F2F2"/>
              <w:right w:val="outset" w:sz="2" w:space="0" w:color="auto"/>
            </w:tcBorders>
            <w:hideMark/>
          </w:tcPr>
          <w:p w14:paraId="3FE5A88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Number of articles</w:t>
            </w:r>
          </w:p>
        </w:tc>
        <w:tc>
          <w:tcPr>
            <w:tcW w:w="0" w:type="auto"/>
            <w:tcBorders>
              <w:top w:val="outset" w:sz="2" w:space="0" w:color="auto"/>
              <w:left w:val="outset" w:sz="2" w:space="0" w:color="auto"/>
              <w:bottom w:val="single" w:sz="6" w:space="0" w:color="F2F2F2"/>
              <w:right w:val="outset" w:sz="2" w:space="0" w:color="auto"/>
            </w:tcBorders>
            <w:hideMark/>
          </w:tcPr>
          <w:p w14:paraId="687E34D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Average APC</w:t>
            </w:r>
          </w:p>
        </w:tc>
        <w:tc>
          <w:tcPr>
            <w:tcW w:w="0" w:type="auto"/>
            <w:tcBorders>
              <w:top w:val="outset" w:sz="2" w:space="0" w:color="auto"/>
              <w:left w:val="outset" w:sz="2" w:space="0" w:color="auto"/>
              <w:bottom w:val="single" w:sz="6" w:space="0" w:color="F2F2F2"/>
              <w:right w:val="outset" w:sz="2" w:space="0" w:color="auto"/>
            </w:tcBorders>
            <w:hideMark/>
          </w:tcPr>
          <w:p w14:paraId="4CBD8C4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Total spend</w:t>
            </w:r>
          </w:p>
        </w:tc>
      </w:tr>
      <w:tr w:rsidR="00DD0B23" w:rsidRPr="00DD0B23" w14:paraId="5930E583"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noWrap/>
            <w:hideMark/>
          </w:tcPr>
          <w:p w14:paraId="2F49180C"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Fully OA journals</w:t>
            </w:r>
          </w:p>
        </w:tc>
        <w:tc>
          <w:tcPr>
            <w:tcW w:w="0" w:type="auto"/>
            <w:tcBorders>
              <w:top w:val="outset" w:sz="2" w:space="0" w:color="auto"/>
              <w:left w:val="outset" w:sz="2" w:space="0" w:color="auto"/>
              <w:bottom w:val="single" w:sz="6" w:space="0" w:color="F2F2F2"/>
              <w:right w:val="outset" w:sz="2" w:space="0" w:color="auto"/>
            </w:tcBorders>
            <w:hideMark/>
          </w:tcPr>
          <w:p w14:paraId="222C5B6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167</w:t>
            </w:r>
          </w:p>
        </w:tc>
        <w:tc>
          <w:tcPr>
            <w:tcW w:w="0" w:type="auto"/>
            <w:tcBorders>
              <w:top w:val="outset" w:sz="2" w:space="0" w:color="auto"/>
              <w:left w:val="outset" w:sz="2" w:space="0" w:color="auto"/>
              <w:bottom w:val="single" w:sz="6" w:space="0" w:color="F2F2F2"/>
              <w:right w:val="outset" w:sz="2" w:space="0" w:color="auto"/>
            </w:tcBorders>
            <w:hideMark/>
          </w:tcPr>
          <w:p w14:paraId="1ABC40F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£1,439</w:t>
            </w:r>
          </w:p>
        </w:tc>
        <w:tc>
          <w:tcPr>
            <w:tcW w:w="0" w:type="auto"/>
            <w:tcBorders>
              <w:top w:val="outset" w:sz="2" w:space="0" w:color="auto"/>
              <w:left w:val="outset" w:sz="2" w:space="0" w:color="auto"/>
              <w:bottom w:val="single" w:sz="6" w:space="0" w:color="F2F2F2"/>
              <w:right w:val="outset" w:sz="2" w:space="0" w:color="auto"/>
            </w:tcBorders>
            <w:hideMark/>
          </w:tcPr>
          <w:p w14:paraId="4315DBF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£240,370</w:t>
            </w:r>
          </w:p>
        </w:tc>
        <w:tc>
          <w:tcPr>
            <w:tcW w:w="0" w:type="auto"/>
            <w:tcBorders>
              <w:top w:val="outset" w:sz="2" w:space="0" w:color="auto"/>
              <w:left w:val="outset" w:sz="2" w:space="0" w:color="auto"/>
              <w:bottom w:val="single" w:sz="6" w:space="0" w:color="F2F2F2"/>
              <w:right w:val="outset" w:sz="2" w:space="0" w:color="auto"/>
            </w:tcBorders>
            <w:hideMark/>
          </w:tcPr>
          <w:p w14:paraId="38A4531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205</w:t>
            </w:r>
          </w:p>
        </w:tc>
        <w:tc>
          <w:tcPr>
            <w:tcW w:w="0" w:type="auto"/>
            <w:tcBorders>
              <w:top w:val="outset" w:sz="2" w:space="0" w:color="auto"/>
              <w:left w:val="outset" w:sz="2" w:space="0" w:color="auto"/>
              <w:bottom w:val="single" w:sz="6" w:space="0" w:color="F2F2F2"/>
              <w:right w:val="outset" w:sz="2" w:space="0" w:color="auto"/>
            </w:tcBorders>
            <w:hideMark/>
          </w:tcPr>
          <w:p w14:paraId="13149AA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£1,518</w:t>
            </w:r>
          </w:p>
        </w:tc>
        <w:tc>
          <w:tcPr>
            <w:tcW w:w="0" w:type="auto"/>
            <w:tcBorders>
              <w:top w:val="outset" w:sz="2" w:space="0" w:color="auto"/>
              <w:left w:val="outset" w:sz="2" w:space="0" w:color="auto"/>
              <w:bottom w:val="single" w:sz="6" w:space="0" w:color="F2F2F2"/>
              <w:right w:val="outset" w:sz="2" w:space="0" w:color="auto"/>
            </w:tcBorders>
            <w:hideMark/>
          </w:tcPr>
          <w:p w14:paraId="187EF2A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£350,424</w:t>
            </w:r>
          </w:p>
        </w:tc>
      </w:tr>
      <w:tr w:rsidR="00DD0B23" w:rsidRPr="00DD0B23" w14:paraId="6FC33AA7"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43E1A66F"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Hybrid journals</w:t>
            </w:r>
          </w:p>
        </w:tc>
        <w:tc>
          <w:tcPr>
            <w:tcW w:w="0" w:type="auto"/>
            <w:tcBorders>
              <w:top w:val="outset" w:sz="2" w:space="0" w:color="auto"/>
              <w:left w:val="outset" w:sz="2" w:space="0" w:color="auto"/>
              <w:bottom w:val="single" w:sz="6" w:space="0" w:color="F2F2F2"/>
              <w:right w:val="outset" w:sz="2" w:space="0" w:color="auto"/>
            </w:tcBorders>
            <w:hideMark/>
          </w:tcPr>
          <w:p w14:paraId="42BAD3F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528</w:t>
            </w:r>
          </w:p>
        </w:tc>
        <w:tc>
          <w:tcPr>
            <w:tcW w:w="0" w:type="auto"/>
            <w:tcBorders>
              <w:top w:val="outset" w:sz="2" w:space="0" w:color="auto"/>
              <w:left w:val="outset" w:sz="2" w:space="0" w:color="auto"/>
              <w:bottom w:val="single" w:sz="6" w:space="0" w:color="F2F2F2"/>
              <w:right w:val="outset" w:sz="2" w:space="0" w:color="auto"/>
            </w:tcBorders>
            <w:hideMark/>
          </w:tcPr>
          <w:p w14:paraId="14630DF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£1,638</w:t>
            </w:r>
          </w:p>
        </w:tc>
        <w:tc>
          <w:tcPr>
            <w:tcW w:w="0" w:type="auto"/>
            <w:tcBorders>
              <w:top w:val="outset" w:sz="2" w:space="0" w:color="auto"/>
              <w:left w:val="outset" w:sz="2" w:space="0" w:color="auto"/>
              <w:bottom w:val="single" w:sz="6" w:space="0" w:color="F2F2F2"/>
              <w:right w:val="outset" w:sz="2" w:space="0" w:color="auto"/>
            </w:tcBorders>
            <w:hideMark/>
          </w:tcPr>
          <w:p w14:paraId="371C798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£864,889</w:t>
            </w:r>
          </w:p>
        </w:tc>
        <w:tc>
          <w:tcPr>
            <w:tcW w:w="0" w:type="auto"/>
            <w:tcBorders>
              <w:top w:val="outset" w:sz="2" w:space="0" w:color="auto"/>
              <w:left w:val="outset" w:sz="2" w:space="0" w:color="auto"/>
              <w:bottom w:val="single" w:sz="6" w:space="0" w:color="F2F2F2"/>
              <w:right w:val="outset" w:sz="2" w:space="0" w:color="auto"/>
            </w:tcBorders>
            <w:hideMark/>
          </w:tcPr>
          <w:p w14:paraId="5A6F08F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478</w:t>
            </w:r>
          </w:p>
        </w:tc>
        <w:tc>
          <w:tcPr>
            <w:tcW w:w="0" w:type="auto"/>
            <w:tcBorders>
              <w:top w:val="outset" w:sz="2" w:space="0" w:color="auto"/>
              <w:left w:val="outset" w:sz="2" w:space="0" w:color="auto"/>
              <w:bottom w:val="single" w:sz="6" w:space="0" w:color="F2F2F2"/>
              <w:right w:val="outset" w:sz="2" w:space="0" w:color="auto"/>
            </w:tcBorders>
            <w:hideMark/>
          </w:tcPr>
          <w:p w14:paraId="70B8765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£1,935</w:t>
            </w:r>
          </w:p>
        </w:tc>
        <w:tc>
          <w:tcPr>
            <w:tcW w:w="0" w:type="auto"/>
            <w:tcBorders>
              <w:top w:val="outset" w:sz="2" w:space="0" w:color="auto"/>
              <w:left w:val="outset" w:sz="2" w:space="0" w:color="auto"/>
              <w:bottom w:val="single" w:sz="6" w:space="0" w:color="F2F2F2"/>
              <w:right w:val="outset" w:sz="2" w:space="0" w:color="auto"/>
            </w:tcBorders>
            <w:hideMark/>
          </w:tcPr>
          <w:p w14:paraId="6FA032A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£1,079,349</w:t>
            </w:r>
          </w:p>
        </w:tc>
      </w:tr>
      <w:tr w:rsidR="00DD0B23" w:rsidRPr="00DD0B23" w14:paraId="4DEA49F4"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FAE15BA"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w:t>
            </w:r>
          </w:p>
        </w:tc>
        <w:tc>
          <w:tcPr>
            <w:tcW w:w="0" w:type="auto"/>
            <w:tcBorders>
              <w:top w:val="outset" w:sz="2" w:space="0" w:color="auto"/>
              <w:left w:val="outset" w:sz="2" w:space="0" w:color="auto"/>
              <w:bottom w:val="single" w:sz="6" w:space="0" w:color="F2F2F2"/>
              <w:right w:val="outset" w:sz="2" w:space="0" w:color="auto"/>
            </w:tcBorders>
            <w:hideMark/>
          </w:tcPr>
          <w:p w14:paraId="44843A3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695</w:t>
            </w:r>
          </w:p>
        </w:tc>
        <w:tc>
          <w:tcPr>
            <w:tcW w:w="0" w:type="auto"/>
            <w:tcBorders>
              <w:top w:val="outset" w:sz="2" w:space="0" w:color="auto"/>
              <w:left w:val="outset" w:sz="2" w:space="0" w:color="auto"/>
              <w:bottom w:val="single" w:sz="6" w:space="0" w:color="F2F2F2"/>
              <w:right w:val="outset" w:sz="2" w:space="0" w:color="auto"/>
            </w:tcBorders>
            <w:hideMark/>
          </w:tcPr>
          <w:p w14:paraId="1FB9376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£1,590</w:t>
            </w:r>
          </w:p>
        </w:tc>
        <w:tc>
          <w:tcPr>
            <w:tcW w:w="0" w:type="auto"/>
            <w:tcBorders>
              <w:top w:val="outset" w:sz="2" w:space="0" w:color="auto"/>
              <w:left w:val="outset" w:sz="2" w:space="0" w:color="auto"/>
              <w:bottom w:val="single" w:sz="6" w:space="0" w:color="F2F2F2"/>
              <w:right w:val="outset" w:sz="2" w:space="0" w:color="auto"/>
            </w:tcBorders>
            <w:hideMark/>
          </w:tcPr>
          <w:p w14:paraId="1F90315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£1,105,259</w:t>
            </w:r>
          </w:p>
        </w:tc>
        <w:tc>
          <w:tcPr>
            <w:tcW w:w="0" w:type="auto"/>
            <w:tcBorders>
              <w:top w:val="outset" w:sz="2" w:space="0" w:color="auto"/>
              <w:left w:val="outset" w:sz="2" w:space="0" w:color="auto"/>
              <w:bottom w:val="single" w:sz="6" w:space="0" w:color="F2F2F2"/>
              <w:right w:val="outset" w:sz="2" w:space="0" w:color="auto"/>
            </w:tcBorders>
            <w:hideMark/>
          </w:tcPr>
          <w:p w14:paraId="79C1507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683</w:t>
            </w:r>
          </w:p>
        </w:tc>
        <w:tc>
          <w:tcPr>
            <w:tcW w:w="0" w:type="auto"/>
            <w:tcBorders>
              <w:top w:val="outset" w:sz="2" w:space="0" w:color="auto"/>
              <w:left w:val="outset" w:sz="2" w:space="0" w:color="auto"/>
              <w:bottom w:val="single" w:sz="6" w:space="0" w:color="F2F2F2"/>
              <w:right w:val="outset" w:sz="2" w:space="0" w:color="auto"/>
            </w:tcBorders>
            <w:hideMark/>
          </w:tcPr>
          <w:p w14:paraId="08389CC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£1,810</w:t>
            </w:r>
          </w:p>
        </w:tc>
        <w:tc>
          <w:tcPr>
            <w:tcW w:w="0" w:type="auto"/>
            <w:tcBorders>
              <w:top w:val="outset" w:sz="2" w:space="0" w:color="auto"/>
              <w:left w:val="outset" w:sz="2" w:space="0" w:color="auto"/>
              <w:bottom w:val="single" w:sz="6" w:space="0" w:color="F2F2F2"/>
              <w:right w:val="outset" w:sz="2" w:space="0" w:color="auto"/>
            </w:tcBorders>
            <w:hideMark/>
          </w:tcPr>
          <w:p w14:paraId="7EE2628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£1,429,773</w:t>
            </w:r>
          </w:p>
        </w:tc>
      </w:tr>
    </w:tbl>
    <w:p w14:paraId="3023F3FA"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w:t>
      </w:r>
    </w:p>
    <w:p w14:paraId="6E538B98"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The average APC total of £1,810 (see table 3) is significantly lower than the average APC total for all articles which is £2,424 (see table 1). The reductions provided through publisher schemes are slightly more for hybrid journals than fully OA journals.</w:t>
      </w:r>
    </w:p>
    <w:p w14:paraId="161F34E4"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Table 4 breaks down the publication costs reported to us for the top five publishers (by volume) of COAF-funded articles published in 2017/18.</w:t>
      </w:r>
    </w:p>
    <w:p w14:paraId="463CCD3E"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259AA921"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39571627"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5CF9B4BA"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72972640"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2BA3478F"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31FCF86A"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50D2CE94"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424BD5F6"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725C222B"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5397C9B9" w14:textId="77777777" w:rsid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p>
    <w:p w14:paraId="0122B306" w14:textId="77777777" w:rsidR="00DD0B23" w:rsidRP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lastRenderedPageBreak/>
        <w:t>Table 4: top five publishers (by volume) of COAF-supported research and APC spend, 2017/18</w:t>
      </w:r>
    </w:p>
    <w:tbl>
      <w:tblPr>
        <w:tblW w:w="7500" w:type="dxa"/>
        <w:tblCellMar>
          <w:left w:w="0" w:type="dxa"/>
          <w:right w:w="0" w:type="dxa"/>
        </w:tblCellMar>
        <w:tblLook w:val="04A0" w:firstRow="1" w:lastRow="0" w:firstColumn="1" w:lastColumn="0" w:noHBand="0" w:noVBand="1"/>
      </w:tblPr>
      <w:tblGrid>
        <w:gridCol w:w="2485"/>
        <w:gridCol w:w="1119"/>
        <w:gridCol w:w="1526"/>
        <w:gridCol w:w="1205"/>
        <w:gridCol w:w="1165"/>
      </w:tblGrid>
      <w:tr w:rsidR="00DD0B23" w:rsidRPr="00DD0B23" w14:paraId="416B6015" w14:textId="77777777" w:rsidTr="00DD0B23">
        <w:trPr>
          <w:tblHeader/>
        </w:trPr>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2B3AA77A" w14:textId="77777777" w:rsidR="00DD0B23" w:rsidRPr="00DD0B23" w:rsidRDefault="00DD0B23" w:rsidP="00DD0B23">
            <w:pPr>
              <w:spacing w:after="0" w:line="240" w:lineRule="auto"/>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Publisher</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0437B2F1"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Journal type</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67D86854"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Number of articles</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74275D7B"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Average APC</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253A1CB0"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Total spend</w:t>
            </w:r>
          </w:p>
        </w:tc>
      </w:tr>
      <w:tr w:rsidR="00DD0B23" w:rsidRPr="00DD0B23" w14:paraId="3C3B9CF1"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noWrap/>
            <w:hideMark/>
          </w:tcPr>
          <w:p w14:paraId="4F51DECB"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Elsevier</w:t>
            </w:r>
          </w:p>
        </w:tc>
        <w:tc>
          <w:tcPr>
            <w:tcW w:w="0" w:type="auto"/>
            <w:tcBorders>
              <w:top w:val="outset" w:sz="2" w:space="0" w:color="auto"/>
              <w:left w:val="outset" w:sz="2" w:space="0" w:color="auto"/>
              <w:bottom w:val="single" w:sz="6" w:space="0" w:color="F2F2F2"/>
              <w:right w:val="outset" w:sz="2" w:space="0" w:color="auto"/>
            </w:tcBorders>
            <w:hideMark/>
          </w:tcPr>
          <w:p w14:paraId="12DCF16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4126E11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118</w:t>
            </w:r>
          </w:p>
        </w:tc>
        <w:tc>
          <w:tcPr>
            <w:tcW w:w="0" w:type="auto"/>
            <w:tcBorders>
              <w:top w:val="outset" w:sz="2" w:space="0" w:color="auto"/>
              <w:left w:val="outset" w:sz="2" w:space="0" w:color="auto"/>
              <w:bottom w:val="single" w:sz="6" w:space="0" w:color="F2F2F2"/>
              <w:right w:val="outset" w:sz="2" w:space="0" w:color="auto"/>
            </w:tcBorders>
            <w:hideMark/>
          </w:tcPr>
          <w:p w14:paraId="0B95871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£3,336</w:t>
            </w:r>
          </w:p>
        </w:tc>
        <w:tc>
          <w:tcPr>
            <w:tcW w:w="0" w:type="auto"/>
            <w:tcBorders>
              <w:top w:val="outset" w:sz="2" w:space="0" w:color="auto"/>
              <w:left w:val="outset" w:sz="2" w:space="0" w:color="auto"/>
              <w:bottom w:val="single" w:sz="6" w:space="0" w:color="F2F2F2"/>
              <w:right w:val="outset" w:sz="2" w:space="0" w:color="auto"/>
            </w:tcBorders>
            <w:hideMark/>
          </w:tcPr>
          <w:p w14:paraId="026D755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£393,642</w:t>
            </w:r>
          </w:p>
        </w:tc>
      </w:tr>
      <w:tr w:rsidR="00DD0B23" w:rsidRPr="00DD0B23" w14:paraId="3ABD1C03"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6009993"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70108CF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45FBF30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697</w:t>
            </w:r>
          </w:p>
        </w:tc>
        <w:tc>
          <w:tcPr>
            <w:tcW w:w="0" w:type="auto"/>
            <w:tcBorders>
              <w:top w:val="outset" w:sz="2" w:space="0" w:color="auto"/>
              <w:left w:val="outset" w:sz="2" w:space="0" w:color="auto"/>
              <w:bottom w:val="single" w:sz="6" w:space="0" w:color="F2F2F2"/>
              <w:right w:val="outset" w:sz="2" w:space="0" w:color="auto"/>
            </w:tcBorders>
            <w:hideMark/>
          </w:tcPr>
          <w:p w14:paraId="6DA67E7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£3,129</w:t>
            </w:r>
          </w:p>
        </w:tc>
        <w:tc>
          <w:tcPr>
            <w:tcW w:w="0" w:type="auto"/>
            <w:tcBorders>
              <w:top w:val="outset" w:sz="2" w:space="0" w:color="auto"/>
              <w:left w:val="outset" w:sz="2" w:space="0" w:color="auto"/>
              <w:bottom w:val="single" w:sz="6" w:space="0" w:color="F2F2F2"/>
              <w:right w:val="outset" w:sz="2" w:space="0" w:color="auto"/>
            </w:tcBorders>
            <w:hideMark/>
          </w:tcPr>
          <w:p w14:paraId="274FC81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£2,181,198</w:t>
            </w:r>
          </w:p>
        </w:tc>
      </w:tr>
      <w:tr w:rsidR="00DD0B23" w:rsidRPr="00DD0B23" w14:paraId="7893E2EC"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03E87543"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07E73A7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4CBAF11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815</w:t>
            </w:r>
          </w:p>
        </w:tc>
        <w:tc>
          <w:tcPr>
            <w:tcW w:w="0" w:type="auto"/>
            <w:tcBorders>
              <w:top w:val="outset" w:sz="2" w:space="0" w:color="auto"/>
              <w:left w:val="outset" w:sz="2" w:space="0" w:color="auto"/>
              <w:bottom w:val="single" w:sz="6" w:space="0" w:color="F2F2F2"/>
              <w:right w:val="outset" w:sz="2" w:space="0" w:color="auto"/>
            </w:tcBorders>
            <w:hideMark/>
          </w:tcPr>
          <w:p w14:paraId="3AC02E5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79BD91E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£2,574,840</w:t>
            </w:r>
          </w:p>
        </w:tc>
      </w:tr>
      <w:tr w:rsidR="00DD0B23" w:rsidRPr="00DD0B23" w14:paraId="3B99617B"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C756FFE"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Springer Nature</w:t>
            </w:r>
          </w:p>
        </w:tc>
        <w:tc>
          <w:tcPr>
            <w:tcW w:w="0" w:type="auto"/>
            <w:tcBorders>
              <w:top w:val="outset" w:sz="2" w:space="0" w:color="auto"/>
              <w:left w:val="outset" w:sz="2" w:space="0" w:color="auto"/>
              <w:bottom w:val="single" w:sz="6" w:space="0" w:color="F2F2F2"/>
              <w:right w:val="outset" w:sz="2" w:space="0" w:color="auto"/>
            </w:tcBorders>
            <w:hideMark/>
          </w:tcPr>
          <w:p w14:paraId="205651A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2A86EFC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502</w:t>
            </w:r>
          </w:p>
        </w:tc>
        <w:tc>
          <w:tcPr>
            <w:tcW w:w="0" w:type="auto"/>
            <w:tcBorders>
              <w:top w:val="outset" w:sz="2" w:space="0" w:color="auto"/>
              <w:left w:val="outset" w:sz="2" w:space="0" w:color="auto"/>
              <w:bottom w:val="single" w:sz="6" w:space="0" w:color="F2F2F2"/>
              <w:right w:val="outset" w:sz="2" w:space="0" w:color="auto"/>
            </w:tcBorders>
            <w:hideMark/>
          </w:tcPr>
          <w:p w14:paraId="15A947B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£2,139</w:t>
            </w:r>
          </w:p>
        </w:tc>
        <w:tc>
          <w:tcPr>
            <w:tcW w:w="0" w:type="auto"/>
            <w:tcBorders>
              <w:top w:val="outset" w:sz="2" w:space="0" w:color="auto"/>
              <w:left w:val="outset" w:sz="2" w:space="0" w:color="auto"/>
              <w:bottom w:val="single" w:sz="6" w:space="0" w:color="F2F2F2"/>
              <w:right w:val="outset" w:sz="2" w:space="0" w:color="auto"/>
            </w:tcBorders>
            <w:hideMark/>
          </w:tcPr>
          <w:p w14:paraId="1A2FECB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£1,073,689</w:t>
            </w:r>
          </w:p>
        </w:tc>
      </w:tr>
      <w:tr w:rsidR="00DD0B23" w:rsidRPr="00DD0B23" w14:paraId="51BEFA32"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063D7139"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7E2D3A6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282638B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182</w:t>
            </w:r>
          </w:p>
        </w:tc>
        <w:tc>
          <w:tcPr>
            <w:tcW w:w="0" w:type="auto"/>
            <w:tcBorders>
              <w:top w:val="outset" w:sz="2" w:space="0" w:color="auto"/>
              <w:left w:val="outset" w:sz="2" w:space="0" w:color="auto"/>
              <w:bottom w:val="single" w:sz="6" w:space="0" w:color="F2F2F2"/>
              <w:right w:val="outset" w:sz="2" w:space="0" w:color="auto"/>
            </w:tcBorders>
            <w:hideMark/>
          </w:tcPr>
          <w:p w14:paraId="5D5AA06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£2,324</w:t>
            </w:r>
          </w:p>
        </w:tc>
        <w:tc>
          <w:tcPr>
            <w:tcW w:w="0" w:type="auto"/>
            <w:tcBorders>
              <w:top w:val="outset" w:sz="2" w:space="0" w:color="auto"/>
              <w:left w:val="outset" w:sz="2" w:space="0" w:color="auto"/>
              <w:bottom w:val="single" w:sz="6" w:space="0" w:color="F2F2F2"/>
              <w:right w:val="outset" w:sz="2" w:space="0" w:color="auto"/>
            </w:tcBorders>
            <w:hideMark/>
          </w:tcPr>
          <w:p w14:paraId="78C8FDD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£422,951</w:t>
            </w:r>
          </w:p>
        </w:tc>
      </w:tr>
      <w:tr w:rsidR="00DD0B23" w:rsidRPr="00DD0B23" w14:paraId="04AEEB52"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69128F5"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29DCFBD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1DB67A3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684</w:t>
            </w:r>
          </w:p>
        </w:tc>
        <w:tc>
          <w:tcPr>
            <w:tcW w:w="0" w:type="auto"/>
            <w:tcBorders>
              <w:top w:val="outset" w:sz="2" w:space="0" w:color="auto"/>
              <w:left w:val="outset" w:sz="2" w:space="0" w:color="auto"/>
              <w:bottom w:val="single" w:sz="6" w:space="0" w:color="F2F2F2"/>
              <w:right w:val="outset" w:sz="2" w:space="0" w:color="auto"/>
            </w:tcBorders>
            <w:hideMark/>
          </w:tcPr>
          <w:p w14:paraId="7C7A72C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0092395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£1,496,640</w:t>
            </w:r>
          </w:p>
        </w:tc>
      </w:tr>
      <w:tr w:rsidR="00DD0B23" w:rsidRPr="00DD0B23" w14:paraId="19ABA4F4"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4586500D"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Wiley</w:t>
            </w:r>
          </w:p>
        </w:tc>
        <w:tc>
          <w:tcPr>
            <w:tcW w:w="0" w:type="auto"/>
            <w:tcBorders>
              <w:top w:val="outset" w:sz="2" w:space="0" w:color="auto"/>
              <w:left w:val="outset" w:sz="2" w:space="0" w:color="auto"/>
              <w:bottom w:val="single" w:sz="6" w:space="0" w:color="F2F2F2"/>
              <w:right w:val="outset" w:sz="2" w:space="0" w:color="auto"/>
            </w:tcBorders>
            <w:hideMark/>
          </w:tcPr>
          <w:p w14:paraId="4CB9EEF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1410D44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21</w:t>
            </w:r>
          </w:p>
        </w:tc>
        <w:tc>
          <w:tcPr>
            <w:tcW w:w="0" w:type="auto"/>
            <w:tcBorders>
              <w:top w:val="outset" w:sz="2" w:space="0" w:color="auto"/>
              <w:left w:val="outset" w:sz="2" w:space="0" w:color="auto"/>
              <w:bottom w:val="single" w:sz="6" w:space="0" w:color="F2F2F2"/>
              <w:right w:val="outset" w:sz="2" w:space="0" w:color="auto"/>
            </w:tcBorders>
            <w:hideMark/>
          </w:tcPr>
          <w:p w14:paraId="64AC156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£1,302</w:t>
            </w:r>
          </w:p>
        </w:tc>
        <w:tc>
          <w:tcPr>
            <w:tcW w:w="0" w:type="auto"/>
            <w:tcBorders>
              <w:top w:val="outset" w:sz="2" w:space="0" w:color="auto"/>
              <w:left w:val="outset" w:sz="2" w:space="0" w:color="auto"/>
              <w:bottom w:val="single" w:sz="6" w:space="0" w:color="F2F2F2"/>
              <w:right w:val="outset" w:sz="2" w:space="0" w:color="auto"/>
            </w:tcBorders>
            <w:hideMark/>
          </w:tcPr>
          <w:p w14:paraId="38BF304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£27,344</w:t>
            </w:r>
          </w:p>
        </w:tc>
      </w:tr>
      <w:tr w:rsidR="00DD0B23" w:rsidRPr="00DD0B23" w14:paraId="0F3AC73F"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68E3EEF8"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0B53812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1D8D8B1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327</w:t>
            </w:r>
          </w:p>
        </w:tc>
        <w:tc>
          <w:tcPr>
            <w:tcW w:w="0" w:type="auto"/>
            <w:tcBorders>
              <w:top w:val="outset" w:sz="2" w:space="0" w:color="auto"/>
              <w:left w:val="outset" w:sz="2" w:space="0" w:color="auto"/>
              <w:bottom w:val="single" w:sz="6" w:space="0" w:color="F2F2F2"/>
              <w:right w:val="outset" w:sz="2" w:space="0" w:color="auto"/>
            </w:tcBorders>
            <w:hideMark/>
          </w:tcPr>
          <w:p w14:paraId="5A1D720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£2,240</w:t>
            </w:r>
          </w:p>
        </w:tc>
        <w:tc>
          <w:tcPr>
            <w:tcW w:w="0" w:type="auto"/>
            <w:tcBorders>
              <w:top w:val="outset" w:sz="2" w:space="0" w:color="auto"/>
              <w:left w:val="outset" w:sz="2" w:space="0" w:color="auto"/>
              <w:bottom w:val="single" w:sz="6" w:space="0" w:color="F2F2F2"/>
              <w:right w:val="outset" w:sz="2" w:space="0" w:color="auto"/>
            </w:tcBorders>
            <w:hideMark/>
          </w:tcPr>
          <w:p w14:paraId="36AC68B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£732,483</w:t>
            </w:r>
          </w:p>
        </w:tc>
      </w:tr>
      <w:tr w:rsidR="00DD0B23" w:rsidRPr="00DD0B23" w14:paraId="30CA6B66"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CFA7249"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0EFF2F6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6ECAC7A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348</w:t>
            </w:r>
          </w:p>
        </w:tc>
        <w:tc>
          <w:tcPr>
            <w:tcW w:w="0" w:type="auto"/>
            <w:tcBorders>
              <w:top w:val="outset" w:sz="2" w:space="0" w:color="auto"/>
              <w:left w:val="outset" w:sz="2" w:space="0" w:color="auto"/>
              <w:bottom w:val="single" w:sz="6" w:space="0" w:color="F2F2F2"/>
              <w:right w:val="outset" w:sz="2" w:space="0" w:color="auto"/>
            </w:tcBorders>
            <w:hideMark/>
          </w:tcPr>
          <w:p w14:paraId="7459485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2038741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£759,827</w:t>
            </w:r>
          </w:p>
        </w:tc>
      </w:tr>
      <w:tr w:rsidR="00DD0B23" w:rsidRPr="00DD0B23" w14:paraId="478D731D"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noWrap/>
            <w:hideMark/>
          </w:tcPr>
          <w:p w14:paraId="6087081C"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Oxford University Press</w:t>
            </w:r>
          </w:p>
        </w:tc>
        <w:tc>
          <w:tcPr>
            <w:tcW w:w="0" w:type="auto"/>
            <w:tcBorders>
              <w:top w:val="outset" w:sz="2" w:space="0" w:color="auto"/>
              <w:left w:val="outset" w:sz="2" w:space="0" w:color="auto"/>
              <w:bottom w:val="single" w:sz="6" w:space="0" w:color="F2F2F2"/>
              <w:right w:val="outset" w:sz="2" w:space="0" w:color="auto"/>
            </w:tcBorders>
            <w:hideMark/>
          </w:tcPr>
          <w:p w14:paraId="374F152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6FEA6F9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w:t>
            </w:r>
          </w:p>
        </w:tc>
        <w:tc>
          <w:tcPr>
            <w:tcW w:w="0" w:type="auto"/>
            <w:tcBorders>
              <w:top w:val="outset" w:sz="2" w:space="0" w:color="auto"/>
              <w:left w:val="outset" w:sz="2" w:space="0" w:color="auto"/>
              <w:bottom w:val="single" w:sz="6" w:space="0" w:color="F2F2F2"/>
              <w:right w:val="outset" w:sz="2" w:space="0" w:color="auto"/>
            </w:tcBorders>
            <w:hideMark/>
          </w:tcPr>
          <w:p w14:paraId="0FC82DE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£1,617</w:t>
            </w:r>
          </w:p>
        </w:tc>
        <w:tc>
          <w:tcPr>
            <w:tcW w:w="0" w:type="auto"/>
            <w:tcBorders>
              <w:top w:val="outset" w:sz="2" w:space="0" w:color="auto"/>
              <w:left w:val="outset" w:sz="2" w:space="0" w:color="auto"/>
              <w:bottom w:val="single" w:sz="6" w:space="0" w:color="F2F2F2"/>
              <w:right w:val="outset" w:sz="2" w:space="0" w:color="auto"/>
            </w:tcBorders>
            <w:hideMark/>
          </w:tcPr>
          <w:p w14:paraId="0D95D15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£9,704</w:t>
            </w:r>
          </w:p>
        </w:tc>
      </w:tr>
      <w:tr w:rsidR="00DD0B23" w:rsidRPr="00DD0B23" w14:paraId="7E2392B4"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1885FE52"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677A610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5CE8860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254</w:t>
            </w:r>
          </w:p>
        </w:tc>
        <w:tc>
          <w:tcPr>
            <w:tcW w:w="0" w:type="auto"/>
            <w:tcBorders>
              <w:top w:val="outset" w:sz="2" w:space="0" w:color="auto"/>
              <w:left w:val="outset" w:sz="2" w:space="0" w:color="auto"/>
              <w:bottom w:val="single" w:sz="6" w:space="0" w:color="F2F2F2"/>
              <w:right w:val="outset" w:sz="2" w:space="0" w:color="auto"/>
            </w:tcBorders>
            <w:hideMark/>
          </w:tcPr>
          <w:p w14:paraId="5F6AC7D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£2,205</w:t>
            </w:r>
          </w:p>
        </w:tc>
        <w:tc>
          <w:tcPr>
            <w:tcW w:w="0" w:type="auto"/>
            <w:tcBorders>
              <w:top w:val="outset" w:sz="2" w:space="0" w:color="auto"/>
              <w:left w:val="outset" w:sz="2" w:space="0" w:color="auto"/>
              <w:bottom w:val="single" w:sz="6" w:space="0" w:color="F2F2F2"/>
              <w:right w:val="outset" w:sz="2" w:space="0" w:color="auto"/>
            </w:tcBorders>
            <w:hideMark/>
          </w:tcPr>
          <w:p w14:paraId="1E820C6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£560,115</w:t>
            </w:r>
          </w:p>
        </w:tc>
      </w:tr>
      <w:tr w:rsidR="00DD0B23" w:rsidRPr="00DD0B23" w14:paraId="39472C7B"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35BFECD1"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1EECD74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7F0BB85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260</w:t>
            </w:r>
          </w:p>
        </w:tc>
        <w:tc>
          <w:tcPr>
            <w:tcW w:w="0" w:type="auto"/>
            <w:tcBorders>
              <w:top w:val="outset" w:sz="2" w:space="0" w:color="auto"/>
              <w:left w:val="outset" w:sz="2" w:space="0" w:color="auto"/>
              <w:bottom w:val="single" w:sz="6" w:space="0" w:color="F2F2F2"/>
              <w:right w:val="outset" w:sz="2" w:space="0" w:color="auto"/>
            </w:tcBorders>
            <w:hideMark/>
          </w:tcPr>
          <w:p w14:paraId="7FAB39D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66D5F5E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£569,819</w:t>
            </w:r>
          </w:p>
        </w:tc>
      </w:tr>
      <w:tr w:rsidR="00DD0B23" w:rsidRPr="00DD0B23" w14:paraId="2BC41033"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7A823FCD"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British Medical Journal</w:t>
            </w:r>
          </w:p>
        </w:tc>
        <w:tc>
          <w:tcPr>
            <w:tcW w:w="0" w:type="auto"/>
            <w:tcBorders>
              <w:top w:val="outset" w:sz="2" w:space="0" w:color="auto"/>
              <w:left w:val="outset" w:sz="2" w:space="0" w:color="auto"/>
              <w:bottom w:val="single" w:sz="6" w:space="0" w:color="F2F2F2"/>
              <w:right w:val="outset" w:sz="2" w:space="0" w:color="auto"/>
            </w:tcBorders>
            <w:hideMark/>
          </w:tcPr>
          <w:p w14:paraId="71D6827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4D59390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68</w:t>
            </w:r>
          </w:p>
        </w:tc>
        <w:tc>
          <w:tcPr>
            <w:tcW w:w="0" w:type="auto"/>
            <w:tcBorders>
              <w:top w:val="outset" w:sz="2" w:space="0" w:color="auto"/>
              <w:left w:val="outset" w:sz="2" w:space="0" w:color="auto"/>
              <w:bottom w:val="single" w:sz="6" w:space="0" w:color="F2F2F2"/>
              <w:right w:val="outset" w:sz="2" w:space="0" w:color="auto"/>
            </w:tcBorders>
            <w:hideMark/>
          </w:tcPr>
          <w:p w14:paraId="72EE656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£1,811</w:t>
            </w:r>
          </w:p>
        </w:tc>
        <w:tc>
          <w:tcPr>
            <w:tcW w:w="0" w:type="auto"/>
            <w:tcBorders>
              <w:top w:val="outset" w:sz="2" w:space="0" w:color="auto"/>
              <w:left w:val="outset" w:sz="2" w:space="0" w:color="auto"/>
              <w:bottom w:val="single" w:sz="6" w:space="0" w:color="F2F2F2"/>
              <w:right w:val="outset" w:sz="2" w:space="0" w:color="auto"/>
            </w:tcBorders>
            <w:hideMark/>
          </w:tcPr>
          <w:p w14:paraId="3EB4739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£123,119</w:t>
            </w:r>
          </w:p>
        </w:tc>
      </w:tr>
      <w:tr w:rsidR="00DD0B23" w:rsidRPr="00DD0B23" w14:paraId="1C23BC51"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1BAE36EB"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057D864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3B9602E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88</w:t>
            </w:r>
          </w:p>
        </w:tc>
        <w:tc>
          <w:tcPr>
            <w:tcW w:w="0" w:type="auto"/>
            <w:tcBorders>
              <w:top w:val="outset" w:sz="2" w:space="0" w:color="auto"/>
              <w:left w:val="outset" w:sz="2" w:space="0" w:color="auto"/>
              <w:bottom w:val="single" w:sz="6" w:space="0" w:color="F2F2F2"/>
              <w:right w:val="outset" w:sz="2" w:space="0" w:color="auto"/>
            </w:tcBorders>
            <w:hideMark/>
          </w:tcPr>
          <w:p w14:paraId="04FA23F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£2,306</w:t>
            </w:r>
          </w:p>
        </w:tc>
        <w:tc>
          <w:tcPr>
            <w:tcW w:w="0" w:type="auto"/>
            <w:tcBorders>
              <w:top w:val="outset" w:sz="2" w:space="0" w:color="auto"/>
              <w:left w:val="outset" w:sz="2" w:space="0" w:color="auto"/>
              <w:bottom w:val="single" w:sz="6" w:space="0" w:color="F2F2F2"/>
              <w:right w:val="outset" w:sz="2" w:space="0" w:color="auto"/>
            </w:tcBorders>
            <w:hideMark/>
          </w:tcPr>
          <w:p w14:paraId="0B42C8F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£202,938</w:t>
            </w:r>
          </w:p>
        </w:tc>
      </w:tr>
      <w:tr w:rsidR="00DD0B23" w:rsidRPr="00DD0B23" w14:paraId="710C94A1"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1FC1F15"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6041302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3FE266D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156</w:t>
            </w:r>
          </w:p>
        </w:tc>
        <w:tc>
          <w:tcPr>
            <w:tcW w:w="0" w:type="auto"/>
            <w:tcBorders>
              <w:top w:val="outset" w:sz="2" w:space="0" w:color="auto"/>
              <w:left w:val="outset" w:sz="2" w:space="0" w:color="auto"/>
              <w:bottom w:val="single" w:sz="6" w:space="0" w:color="F2F2F2"/>
              <w:right w:val="outset" w:sz="2" w:space="0" w:color="auto"/>
            </w:tcBorders>
            <w:hideMark/>
          </w:tcPr>
          <w:p w14:paraId="6B8F67C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778CD67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£326,057</w:t>
            </w:r>
          </w:p>
        </w:tc>
      </w:tr>
    </w:tbl>
    <w:p w14:paraId="0AAED901"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w:t>
      </w:r>
    </w:p>
    <w:p w14:paraId="70C7C038"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Elsevier again has the most expensive APCs, with average APCs over £3,000 – far higher than the other publishers in the top five.</w:t>
      </w:r>
    </w:p>
    <w:p w14:paraId="3A2621C6"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Elsevier is the only publisher in the top five that has a higher average APC for fully OA journals than hybrid ones. This is a consequence of the small number of highly-priced OA journals Cell Reports (Elsevier) and The Lancet Global Health (Elsevier).</w:t>
      </w:r>
    </w:p>
    <w:p w14:paraId="63EA8577"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Springer Nature is the only publisher that has published more fully OA articles than hybrid ones.</w:t>
      </w:r>
    </w:p>
    <w:p w14:paraId="370F0C95" w14:textId="77777777" w:rsidR="00DD0B23" w:rsidRPr="00DD0B23" w:rsidRDefault="00DD0B23" w:rsidP="00DD0B23">
      <w:pPr>
        <w:pBdr>
          <w:top w:val="single" w:sz="6" w:space="0" w:color="D9D9D9"/>
        </w:pBdr>
        <w:shd w:val="clear" w:color="auto" w:fill="FFFFFF"/>
        <w:spacing w:before="100" w:beforeAutospacing="1" w:after="100" w:afterAutospacing="1" w:line="240" w:lineRule="auto"/>
        <w:outlineLvl w:val="1"/>
        <w:rPr>
          <w:rFonts w:ascii="Helvetica" w:eastAsia="Times New Roman" w:hAnsi="Helvetica" w:cs="Helvetica"/>
          <w:b/>
          <w:bCs/>
          <w:color w:val="000000"/>
          <w:spacing w:val="-3"/>
          <w:sz w:val="36"/>
          <w:szCs w:val="36"/>
          <w:lang w:eastAsia="en-GB"/>
        </w:rPr>
      </w:pPr>
      <w:r w:rsidRPr="00DD0B23">
        <w:rPr>
          <w:rFonts w:ascii="Helvetica" w:eastAsia="Times New Roman" w:hAnsi="Helvetica" w:cs="Helvetica"/>
          <w:b/>
          <w:bCs/>
          <w:color w:val="000000"/>
          <w:spacing w:val="-3"/>
          <w:sz w:val="36"/>
          <w:szCs w:val="36"/>
          <w:lang w:eastAsia="en-GB"/>
        </w:rPr>
        <w:t>Compliance data</w:t>
      </w:r>
    </w:p>
    <w:p w14:paraId="57628E9D"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In addition to understanding how much OA is costing us, we look at whether publishers are delivering a service that helps our researchers to comply with the COAF OA policy.</w:t>
      </w:r>
    </w:p>
    <w:p w14:paraId="7B05F8BE"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In brief, the policy requires that when COAF funds are used to pay for an APC the publisher must:</w:t>
      </w:r>
    </w:p>
    <w:p w14:paraId="2F249DD1" w14:textId="77777777" w:rsidR="00DD0B23" w:rsidRPr="00DD0B23" w:rsidRDefault="00DD0B23" w:rsidP="00DD0B23">
      <w:pPr>
        <w:numPr>
          <w:ilvl w:val="0"/>
          <w:numId w:val="4"/>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deposit the final version of the article in PubMed Central (PMC)/Europe PMC</w:t>
      </w:r>
    </w:p>
    <w:p w14:paraId="2AC71A18" w14:textId="77777777" w:rsidR="00DD0B23" w:rsidRPr="00DD0B23" w:rsidRDefault="00DD0B23" w:rsidP="00DD0B23">
      <w:pPr>
        <w:numPr>
          <w:ilvl w:val="0"/>
          <w:numId w:val="4"/>
        </w:numPr>
        <w:shd w:val="clear" w:color="auto" w:fill="FFFFFF"/>
        <w:spacing w:before="100" w:beforeAutospacing="1" w:after="100" w:afterAutospacing="1" w:line="360" w:lineRule="atLeast"/>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make sure that the article is clearly licenced CC-BY on their own site and in PMC/Europe PMC.</w:t>
      </w:r>
    </w:p>
    <w:p w14:paraId="3340C2EB"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lastRenderedPageBreak/>
        <w:t>As in previous years, we used the </w:t>
      </w:r>
      <w:hyperlink r:id="rId10" w:tgtFrame="_blank" w:history="1">
        <w:r w:rsidRPr="00DD0B23">
          <w:rPr>
            <w:rFonts w:ascii="Helvetica" w:eastAsia="Times New Roman" w:hAnsi="Helvetica" w:cs="Helvetica"/>
            <w:color w:val="003170"/>
            <w:spacing w:val="4"/>
            <w:sz w:val="24"/>
            <w:szCs w:val="24"/>
            <w:u w:val="single"/>
            <w:lang w:eastAsia="en-GB"/>
          </w:rPr>
          <w:t>Cottage Labs compliance checking tool(opens in a new tab)</w:t>
        </w:r>
      </w:hyperlink>
      <w:r w:rsidRPr="00DD0B23">
        <w:rPr>
          <w:rFonts w:ascii="Helvetica" w:eastAsia="Times New Roman" w:hAnsi="Helvetica" w:cs="Helvetica"/>
          <w:color w:val="333333"/>
          <w:spacing w:val="4"/>
          <w:sz w:val="24"/>
          <w:szCs w:val="24"/>
          <w:lang w:eastAsia="en-GB"/>
        </w:rPr>
        <w:t> to programmatically determine if a paper is in the Europe PMC repository and, if so, what licence is attached to it.</w:t>
      </w:r>
    </w:p>
    <w:p w14:paraId="56826DB0" w14:textId="77777777" w:rsidR="00DD0B23" w:rsidRPr="00DD0B23" w:rsidRDefault="00DD0B23" w:rsidP="00DD0B23">
      <w:pPr>
        <w:shd w:val="clear" w:color="auto" w:fill="FFFFFF"/>
        <w:spacing w:beforeAutospacing="1" w:after="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Overall compliance is 90%, a rise from last year’s 87% (see table 5), but less than the 91% in the 2015/2016 analysis. We had hoped to see a greater increase in overall compliance and are disappointed by this – especially in light of </w:t>
      </w:r>
      <w:hyperlink r:id="rId11" w:history="1">
        <w:r w:rsidRPr="00DD0B23">
          <w:rPr>
            <w:rFonts w:ascii="Helvetica" w:eastAsia="Times New Roman" w:hAnsi="Helvetica" w:cs="Helvetica"/>
            <w:color w:val="003170"/>
            <w:spacing w:val="4"/>
            <w:sz w:val="24"/>
            <w:szCs w:val="24"/>
            <w:u w:val="single"/>
            <w:lang w:eastAsia="en-GB"/>
          </w:rPr>
          <w:t>the changes we’re making to our open access policy</w:t>
        </w:r>
      </w:hyperlink>
      <w:r w:rsidRPr="00DD0B23">
        <w:rPr>
          <w:rFonts w:ascii="Helvetica" w:eastAsia="Times New Roman" w:hAnsi="Helvetica" w:cs="Helvetica"/>
          <w:color w:val="333333"/>
          <w:spacing w:val="4"/>
          <w:sz w:val="24"/>
          <w:szCs w:val="24"/>
          <w:lang w:eastAsia="en-GB"/>
        </w:rPr>
        <w:t>.</w:t>
      </w:r>
    </w:p>
    <w:p w14:paraId="64B6DB3E"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If we look at the two elements of the policy separately, the percentage of articles available via Europe PMC was 94%, while the number of articles with a correct and programmatically identifiable licence (either in Europe PMC or on the publisher’s website) was 92%.</w:t>
      </w:r>
    </w:p>
    <w:p w14:paraId="5605BF5A" w14:textId="77777777" w:rsidR="00DD0B23" w:rsidRP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Table 5: compliance with COAF OA policy, 2015-18</w:t>
      </w:r>
    </w:p>
    <w:tbl>
      <w:tblPr>
        <w:tblW w:w="7500" w:type="dxa"/>
        <w:tblCellMar>
          <w:left w:w="0" w:type="dxa"/>
          <w:right w:w="0" w:type="dxa"/>
        </w:tblCellMar>
        <w:tblLook w:val="04A0" w:firstRow="1" w:lastRow="0" w:firstColumn="1" w:lastColumn="0" w:noHBand="0" w:noVBand="1"/>
      </w:tblPr>
      <w:tblGrid>
        <w:gridCol w:w="2748"/>
        <w:gridCol w:w="792"/>
        <w:gridCol w:w="792"/>
        <w:gridCol w:w="792"/>
        <w:gridCol w:w="792"/>
        <w:gridCol w:w="792"/>
        <w:gridCol w:w="792"/>
      </w:tblGrid>
      <w:tr w:rsidR="00DD0B23" w:rsidRPr="00DD0B23" w14:paraId="1CCCC3AA" w14:textId="77777777" w:rsidTr="00DD0B23">
        <w:trPr>
          <w:tblHeader/>
        </w:trPr>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358AB3C4" w14:textId="77777777" w:rsidR="00DD0B23" w:rsidRPr="00DD0B23" w:rsidRDefault="00DD0B23" w:rsidP="00DD0B23">
            <w:pPr>
              <w:spacing w:after="0" w:line="240" w:lineRule="auto"/>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 </w:t>
            </w:r>
          </w:p>
        </w:tc>
        <w:tc>
          <w:tcPr>
            <w:tcW w:w="0" w:type="auto"/>
            <w:gridSpan w:val="3"/>
            <w:tcBorders>
              <w:top w:val="outset" w:sz="2" w:space="0" w:color="auto"/>
              <w:left w:val="outset" w:sz="2" w:space="0" w:color="auto"/>
              <w:bottom w:val="single" w:sz="6" w:space="0" w:color="FFFFFF"/>
              <w:right w:val="outset" w:sz="2" w:space="0" w:color="auto"/>
            </w:tcBorders>
            <w:shd w:val="clear" w:color="auto" w:fill="002E45"/>
            <w:vAlign w:val="center"/>
            <w:hideMark/>
          </w:tcPr>
          <w:p w14:paraId="251F3867" w14:textId="77777777" w:rsidR="00DD0B23" w:rsidRPr="00DD0B23" w:rsidRDefault="00DD0B23" w:rsidP="00DD0B23">
            <w:pPr>
              <w:spacing w:after="0" w:line="240" w:lineRule="auto"/>
              <w:jc w:val="center"/>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Numbers</w:t>
            </w:r>
          </w:p>
        </w:tc>
        <w:tc>
          <w:tcPr>
            <w:tcW w:w="0" w:type="auto"/>
            <w:gridSpan w:val="3"/>
            <w:tcBorders>
              <w:top w:val="outset" w:sz="2" w:space="0" w:color="auto"/>
              <w:left w:val="outset" w:sz="2" w:space="0" w:color="auto"/>
              <w:bottom w:val="single" w:sz="6" w:space="0" w:color="FFFFFF"/>
              <w:right w:val="outset" w:sz="2" w:space="0" w:color="auto"/>
            </w:tcBorders>
            <w:shd w:val="clear" w:color="auto" w:fill="002E45"/>
            <w:vAlign w:val="center"/>
            <w:hideMark/>
          </w:tcPr>
          <w:p w14:paraId="39C384DC" w14:textId="77777777" w:rsidR="00DD0B23" w:rsidRPr="00DD0B23" w:rsidRDefault="00DD0B23" w:rsidP="00DD0B23">
            <w:pPr>
              <w:spacing w:after="0" w:line="240" w:lineRule="auto"/>
              <w:jc w:val="center"/>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Percentage</w:t>
            </w:r>
          </w:p>
        </w:tc>
      </w:tr>
      <w:tr w:rsidR="00DD0B23" w:rsidRPr="00DD0B23" w14:paraId="5458A425"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767B1F21"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6C66350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2015/16</w:t>
            </w:r>
          </w:p>
        </w:tc>
        <w:tc>
          <w:tcPr>
            <w:tcW w:w="0" w:type="auto"/>
            <w:tcBorders>
              <w:top w:val="outset" w:sz="2" w:space="0" w:color="auto"/>
              <w:left w:val="outset" w:sz="2" w:space="0" w:color="auto"/>
              <w:bottom w:val="single" w:sz="6" w:space="0" w:color="F2F2F2"/>
              <w:right w:val="outset" w:sz="2" w:space="0" w:color="auto"/>
            </w:tcBorders>
            <w:hideMark/>
          </w:tcPr>
          <w:p w14:paraId="280DAAC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2016/17</w:t>
            </w:r>
          </w:p>
        </w:tc>
        <w:tc>
          <w:tcPr>
            <w:tcW w:w="0" w:type="auto"/>
            <w:tcBorders>
              <w:top w:val="outset" w:sz="2" w:space="0" w:color="auto"/>
              <w:left w:val="outset" w:sz="2" w:space="0" w:color="auto"/>
              <w:bottom w:val="single" w:sz="6" w:space="0" w:color="F2F2F2"/>
              <w:right w:val="outset" w:sz="2" w:space="0" w:color="auto"/>
            </w:tcBorders>
            <w:hideMark/>
          </w:tcPr>
          <w:p w14:paraId="2F5E898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2017/18</w:t>
            </w:r>
          </w:p>
        </w:tc>
        <w:tc>
          <w:tcPr>
            <w:tcW w:w="0" w:type="auto"/>
            <w:tcBorders>
              <w:top w:val="outset" w:sz="2" w:space="0" w:color="auto"/>
              <w:left w:val="outset" w:sz="2" w:space="0" w:color="auto"/>
              <w:bottom w:val="single" w:sz="6" w:space="0" w:color="F2F2F2"/>
              <w:right w:val="outset" w:sz="2" w:space="0" w:color="auto"/>
            </w:tcBorders>
            <w:hideMark/>
          </w:tcPr>
          <w:p w14:paraId="58CE36E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2015/16</w:t>
            </w:r>
          </w:p>
        </w:tc>
        <w:tc>
          <w:tcPr>
            <w:tcW w:w="0" w:type="auto"/>
            <w:tcBorders>
              <w:top w:val="outset" w:sz="2" w:space="0" w:color="auto"/>
              <w:left w:val="outset" w:sz="2" w:space="0" w:color="auto"/>
              <w:bottom w:val="single" w:sz="6" w:space="0" w:color="F2F2F2"/>
              <w:right w:val="outset" w:sz="2" w:space="0" w:color="auto"/>
            </w:tcBorders>
            <w:hideMark/>
          </w:tcPr>
          <w:p w14:paraId="7A1D7E0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2016/17</w:t>
            </w:r>
          </w:p>
        </w:tc>
        <w:tc>
          <w:tcPr>
            <w:tcW w:w="0" w:type="auto"/>
            <w:tcBorders>
              <w:top w:val="outset" w:sz="2" w:space="0" w:color="auto"/>
              <w:left w:val="outset" w:sz="2" w:space="0" w:color="auto"/>
              <w:bottom w:val="single" w:sz="6" w:space="0" w:color="F2F2F2"/>
              <w:right w:val="outset" w:sz="2" w:space="0" w:color="auto"/>
            </w:tcBorders>
            <w:hideMark/>
          </w:tcPr>
          <w:p w14:paraId="5879D12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2017/18</w:t>
            </w:r>
          </w:p>
        </w:tc>
      </w:tr>
      <w:tr w:rsidR="00DD0B23" w:rsidRPr="00DD0B23" w14:paraId="5BE300CC"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679E1261"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Published articles for which an APC has been paid</w:t>
            </w:r>
          </w:p>
        </w:tc>
        <w:tc>
          <w:tcPr>
            <w:tcW w:w="0" w:type="auto"/>
            <w:tcBorders>
              <w:top w:val="outset" w:sz="2" w:space="0" w:color="auto"/>
              <w:left w:val="outset" w:sz="2" w:space="0" w:color="auto"/>
              <w:bottom w:val="single" w:sz="6" w:space="0" w:color="F2F2F2"/>
              <w:right w:val="outset" w:sz="2" w:space="0" w:color="auto"/>
            </w:tcBorders>
            <w:hideMark/>
          </w:tcPr>
          <w:p w14:paraId="3634058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3,340</w:t>
            </w:r>
          </w:p>
        </w:tc>
        <w:tc>
          <w:tcPr>
            <w:tcW w:w="0" w:type="auto"/>
            <w:tcBorders>
              <w:top w:val="outset" w:sz="2" w:space="0" w:color="auto"/>
              <w:left w:val="outset" w:sz="2" w:space="0" w:color="auto"/>
              <w:bottom w:val="single" w:sz="6" w:space="0" w:color="F2F2F2"/>
              <w:right w:val="outset" w:sz="2" w:space="0" w:color="auto"/>
            </w:tcBorders>
            <w:hideMark/>
          </w:tcPr>
          <w:p w14:paraId="04C3FFC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3,382</w:t>
            </w:r>
          </w:p>
        </w:tc>
        <w:tc>
          <w:tcPr>
            <w:tcW w:w="0" w:type="auto"/>
            <w:tcBorders>
              <w:top w:val="outset" w:sz="2" w:space="0" w:color="auto"/>
              <w:left w:val="outset" w:sz="2" w:space="0" w:color="auto"/>
              <w:bottom w:val="single" w:sz="6" w:space="0" w:color="F2F2F2"/>
              <w:right w:val="outset" w:sz="2" w:space="0" w:color="auto"/>
            </w:tcBorders>
            <w:hideMark/>
          </w:tcPr>
          <w:p w14:paraId="6E384DE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3,601</w:t>
            </w:r>
          </w:p>
        </w:tc>
        <w:tc>
          <w:tcPr>
            <w:tcW w:w="0" w:type="auto"/>
            <w:tcBorders>
              <w:top w:val="outset" w:sz="2" w:space="0" w:color="auto"/>
              <w:left w:val="outset" w:sz="2" w:space="0" w:color="auto"/>
              <w:bottom w:val="single" w:sz="6" w:space="0" w:color="F2F2F2"/>
              <w:right w:val="outset" w:sz="2" w:space="0" w:color="auto"/>
            </w:tcBorders>
            <w:hideMark/>
          </w:tcPr>
          <w:p w14:paraId="01129F1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100%</w:t>
            </w:r>
          </w:p>
        </w:tc>
        <w:tc>
          <w:tcPr>
            <w:tcW w:w="0" w:type="auto"/>
            <w:tcBorders>
              <w:top w:val="outset" w:sz="2" w:space="0" w:color="auto"/>
              <w:left w:val="outset" w:sz="2" w:space="0" w:color="auto"/>
              <w:bottom w:val="single" w:sz="6" w:space="0" w:color="F2F2F2"/>
              <w:right w:val="outset" w:sz="2" w:space="0" w:color="auto"/>
            </w:tcBorders>
            <w:hideMark/>
          </w:tcPr>
          <w:p w14:paraId="426E2A7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100%</w:t>
            </w:r>
          </w:p>
        </w:tc>
        <w:tc>
          <w:tcPr>
            <w:tcW w:w="0" w:type="auto"/>
            <w:tcBorders>
              <w:top w:val="outset" w:sz="2" w:space="0" w:color="auto"/>
              <w:left w:val="outset" w:sz="2" w:space="0" w:color="auto"/>
              <w:bottom w:val="single" w:sz="6" w:space="0" w:color="F2F2F2"/>
              <w:right w:val="outset" w:sz="2" w:space="0" w:color="auto"/>
            </w:tcBorders>
            <w:hideMark/>
          </w:tcPr>
          <w:p w14:paraId="176013C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100%</w:t>
            </w:r>
          </w:p>
        </w:tc>
      </w:tr>
      <w:tr w:rsidR="00DD0B23" w:rsidRPr="00DD0B23" w14:paraId="246BE1A6"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EA26D99"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Number of these articles available in Europe PMC as full text</w:t>
            </w:r>
          </w:p>
        </w:tc>
        <w:tc>
          <w:tcPr>
            <w:tcW w:w="0" w:type="auto"/>
            <w:tcBorders>
              <w:top w:val="outset" w:sz="2" w:space="0" w:color="auto"/>
              <w:left w:val="outset" w:sz="2" w:space="0" w:color="auto"/>
              <w:bottom w:val="single" w:sz="6" w:space="0" w:color="F2F2F2"/>
              <w:right w:val="outset" w:sz="2" w:space="0" w:color="auto"/>
            </w:tcBorders>
            <w:hideMark/>
          </w:tcPr>
          <w:p w14:paraId="2853581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3,210</w:t>
            </w:r>
          </w:p>
        </w:tc>
        <w:tc>
          <w:tcPr>
            <w:tcW w:w="0" w:type="auto"/>
            <w:tcBorders>
              <w:top w:val="outset" w:sz="2" w:space="0" w:color="auto"/>
              <w:left w:val="outset" w:sz="2" w:space="0" w:color="auto"/>
              <w:bottom w:val="single" w:sz="6" w:space="0" w:color="F2F2F2"/>
              <w:right w:val="outset" w:sz="2" w:space="0" w:color="auto"/>
            </w:tcBorders>
            <w:hideMark/>
          </w:tcPr>
          <w:p w14:paraId="2067CF4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3,070</w:t>
            </w:r>
          </w:p>
        </w:tc>
        <w:tc>
          <w:tcPr>
            <w:tcW w:w="0" w:type="auto"/>
            <w:tcBorders>
              <w:top w:val="outset" w:sz="2" w:space="0" w:color="auto"/>
              <w:left w:val="outset" w:sz="2" w:space="0" w:color="auto"/>
              <w:bottom w:val="single" w:sz="6" w:space="0" w:color="F2F2F2"/>
              <w:right w:val="outset" w:sz="2" w:space="0" w:color="auto"/>
            </w:tcBorders>
            <w:hideMark/>
          </w:tcPr>
          <w:p w14:paraId="498713C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3,386</w:t>
            </w:r>
          </w:p>
        </w:tc>
        <w:tc>
          <w:tcPr>
            <w:tcW w:w="0" w:type="auto"/>
            <w:tcBorders>
              <w:top w:val="outset" w:sz="2" w:space="0" w:color="auto"/>
              <w:left w:val="outset" w:sz="2" w:space="0" w:color="auto"/>
              <w:bottom w:val="single" w:sz="6" w:space="0" w:color="F2F2F2"/>
              <w:right w:val="outset" w:sz="2" w:space="0" w:color="auto"/>
            </w:tcBorders>
            <w:hideMark/>
          </w:tcPr>
          <w:p w14:paraId="5E0FB73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96%</w:t>
            </w:r>
          </w:p>
        </w:tc>
        <w:tc>
          <w:tcPr>
            <w:tcW w:w="0" w:type="auto"/>
            <w:tcBorders>
              <w:top w:val="outset" w:sz="2" w:space="0" w:color="auto"/>
              <w:left w:val="outset" w:sz="2" w:space="0" w:color="auto"/>
              <w:bottom w:val="single" w:sz="6" w:space="0" w:color="F2F2F2"/>
              <w:right w:val="outset" w:sz="2" w:space="0" w:color="auto"/>
            </w:tcBorders>
            <w:hideMark/>
          </w:tcPr>
          <w:p w14:paraId="1BF418E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91%</w:t>
            </w:r>
          </w:p>
        </w:tc>
        <w:tc>
          <w:tcPr>
            <w:tcW w:w="0" w:type="auto"/>
            <w:tcBorders>
              <w:top w:val="outset" w:sz="2" w:space="0" w:color="auto"/>
              <w:left w:val="outset" w:sz="2" w:space="0" w:color="auto"/>
              <w:bottom w:val="single" w:sz="6" w:space="0" w:color="F2F2F2"/>
              <w:right w:val="outset" w:sz="2" w:space="0" w:color="auto"/>
            </w:tcBorders>
            <w:hideMark/>
          </w:tcPr>
          <w:p w14:paraId="7E6C865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94%</w:t>
            </w:r>
          </w:p>
        </w:tc>
      </w:tr>
      <w:tr w:rsidR="00DD0B23" w:rsidRPr="00DD0B23" w14:paraId="38C985D3"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9BC6FF3"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Number of articles with a CC-BY (or CC-0) licence either in Europe PMC or on the publisher's website</w:t>
            </w:r>
          </w:p>
        </w:tc>
        <w:tc>
          <w:tcPr>
            <w:tcW w:w="0" w:type="auto"/>
            <w:tcBorders>
              <w:top w:val="outset" w:sz="2" w:space="0" w:color="auto"/>
              <w:left w:val="outset" w:sz="2" w:space="0" w:color="auto"/>
              <w:bottom w:val="single" w:sz="6" w:space="0" w:color="F2F2F2"/>
              <w:right w:val="outset" w:sz="2" w:space="0" w:color="auto"/>
            </w:tcBorders>
            <w:hideMark/>
          </w:tcPr>
          <w:p w14:paraId="2D1FA48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3,122</w:t>
            </w:r>
          </w:p>
        </w:tc>
        <w:tc>
          <w:tcPr>
            <w:tcW w:w="0" w:type="auto"/>
            <w:tcBorders>
              <w:top w:val="outset" w:sz="2" w:space="0" w:color="auto"/>
              <w:left w:val="outset" w:sz="2" w:space="0" w:color="auto"/>
              <w:bottom w:val="single" w:sz="6" w:space="0" w:color="F2F2F2"/>
              <w:right w:val="outset" w:sz="2" w:space="0" w:color="auto"/>
            </w:tcBorders>
            <w:hideMark/>
          </w:tcPr>
          <w:p w14:paraId="31F7B46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3,090</w:t>
            </w:r>
          </w:p>
        </w:tc>
        <w:tc>
          <w:tcPr>
            <w:tcW w:w="0" w:type="auto"/>
            <w:tcBorders>
              <w:top w:val="outset" w:sz="2" w:space="0" w:color="auto"/>
              <w:left w:val="outset" w:sz="2" w:space="0" w:color="auto"/>
              <w:bottom w:val="single" w:sz="6" w:space="0" w:color="F2F2F2"/>
              <w:right w:val="outset" w:sz="2" w:space="0" w:color="auto"/>
            </w:tcBorders>
            <w:hideMark/>
          </w:tcPr>
          <w:p w14:paraId="06D163D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3,300</w:t>
            </w:r>
          </w:p>
        </w:tc>
        <w:tc>
          <w:tcPr>
            <w:tcW w:w="0" w:type="auto"/>
            <w:tcBorders>
              <w:top w:val="outset" w:sz="2" w:space="0" w:color="auto"/>
              <w:left w:val="outset" w:sz="2" w:space="0" w:color="auto"/>
              <w:bottom w:val="single" w:sz="6" w:space="0" w:color="F2F2F2"/>
              <w:right w:val="outset" w:sz="2" w:space="0" w:color="auto"/>
            </w:tcBorders>
            <w:hideMark/>
          </w:tcPr>
          <w:p w14:paraId="29F0B37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93%</w:t>
            </w:r>
          </w:p>
        </w:tc>
        <w:tc>
          <w:tcPr>
            <w:tcW w:w="0" w:type="auto"/>
            <w:tcBorders>
              <w:top w:val="outset" w:sz="2" w:space="0" w:color="auto"/>
              <w:left w:val="outset" w:sz="2" w:space="0" w:color="auto"/>
              <w:bottom w:val="single" w:sz="6" w:space="0" w:color="F2F2F2"/>
              <w:right w:val="outset" w:sz="2" w:space="0" w:color="auto"/>
            </w:tcBorders>
            <w:hideMark/>
          </w:tcPr>
          <w:p w14:paraId="1222573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91%</w:t>
            </w:r>
          </w:p>
        </w:tc>
        <w:tc>
          <w:tcPr>
            <w:tcW w:w="0" w:type="auto"/>
            <w:tcBorders>
              <w:top w:val="outset" w:sz="2" w:space="0" w:color="auto"/>
              <w:left w:val="outset" w:sz="2" w:space="0" w:color="auto"/>
              <w:bottom w:val="single" w:sz="6" w:space="0" w:color="F2F2F2"/>
              <w:right w:val="outset" w:sz="2" w:space="0" w:color="auto"/>
            </w:tcBorders>
            <w:hideMark/>
          </w:tcPr>
          <w:p w14:paraId="4A79AC0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92%</w:t>
            </w:r>
          </w:p>
        </w:tc>
      </w:tr>
      <w:tr w:rsidR="00DD0B23" w:rsidRPr="00DD0B23" w14:paraId="13B15479"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61FBE1B"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Number of articles with other licence (or no programmatically identifiable licence)</w:t>
            </w:r>
          </w:p>
        </w:tc>
        <w:tc>
          <w:tcPr>
            <w:tcW w:w="0" w:type="auto"/>
            <w:tcBorders>
              <w:top w:val="outset" w:sz="2" w:space="0" w:color="auto"/>
              <w:left w:val="outset" w:sz="2" w:space="0" w:color="auto"/>
              <w:bottom w:val="single" w:sz="6" w:space="0" w:color="F2F2F2"/>
              <w:right w:val="outset" w:sz="2" w:space="0" w:color="auto"/>
            </w:tcBorders>
            <w:hideMark/>
          </w:tcPr>
          <w:p w14:paraId="2ACCCC1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218</w:t>
            </w:r>
          </w:p>
        </w:tc>
        <w:tc>
          <w:tcPr>
            <w:tcW w:w="0" w:type="auto"/>
            <w:tcBorders>
              <w:top w:val="outset" w:sz="2" w:space="0" w:color="auto"/>
              <w:left w:val="outset" w:sz="2" w:space="0" w:color="auto"/>
              <w:bottom w:val="single" w:sz="6" w:space="0" w:color="F2F2F2"/>
              <w:right w:val="outset" w:sz="2" w:space="0" w:color="auto"/>
            </w:tcBorders>
            <w:hideMark/>
          </w:tcPr>
          <w:p w14:paraId="0DBEE76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292</w:t>
            </w:r>
          </w:p>
        </w:tc>
        <w:tc>
          <w:tcPr>
            <w:tcW w:w="0" w:type="auto"/>
            <w:tcBorders>
              <w:top w:val="outset" w:sz="2" w:space="0" w:color="auto"/>
              <w:left w:val="outset" w:sz="2" w:space="0" w:color="auto"/>
              <w:bottom w:val="single" w:sz="6" w:space="0" w:color="F2F2F2"/>
              <w:right w:val="outset" w:sz="2" w:space="0" w:color="auto"/>
            </w:tcBorders>
            <w:hideMark/>
          </w:tcPr>
          <w:p w14:paraId="6FC0FC3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301</w:t>
            </w:r>
          </w:p>
        </w:tc>
        <w:tc>
          <w:tcPr>
            <w:tcW w:w="0" w:type="auto"/>
            <w:tcBorders>
              <w:top w:val="outset" w:sz="2" w:space="0" w:color="auto"/>
              <w:left w:val="outset" w:sz="2" w:space="0" w:color="auto"/>
              <w:bottom w:val="single" w:sz="6" w:space="0" w:color="F2F2F2"/>
              <w:right w:val="outset" w:sz="2" w:space="0" w:color="auto"/>
            </w:tcBorders>
            <w:hideMark/>
          </w:tcPr>
          <w:p w14:paraId="5999A07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7%</w:t>
            </w:r>
          </w:p>
        </w:tc>
        <w:tc>
          <w:tcPr>
            <w:tcW w:w="0" w:type="auto"/>
            <w:tcBorders>
              <w:top w:val="outset" w:sz="2" w:space="0" w:color="auto"/>
              <w:left w:val="outset" w:sz="2" w:space="0" w:color="auto"/>
              <w:bottom w:val="single" w:sz="6" w:space="0" w:color="F2F2F2"/>
              <w:right w:val="outset" w:sz="2" w:space="0" w:color="auto"/>
            </w:tcBorders>
            <w:hideMark/>
          </w:tcPr>
          <w:p w14:paraId="75AE4CF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w:t>
            </w:r>
          </w:p>
        </w:tc>
        <w:tc>
          <w:tcPr>
            <w:tcW w:w="0" w:type="auto"/>
            <w:tcBorders>
              <w:top w:val="outset" w:sz="2" w:space="0" w:color="auto"/>
              <w:left w:val="outset" w:sz="2" w:space="0" w:color="auto"/>
              <w:bottom w:val="single" w:sz="6" w:space="0" w:color="F2F2F2"/>
              <w:right w:val="outset" w:sz="2" w:space="0" w:color="auto"/>
            </w:tcBorders>
            <w:hideMark/>
          </w:tcPr>
          <w:p w14:paraId="3ACADDF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w:t>
            </w:r>
          </w:p>
        </w:tc>
      </w:tr>
      <w:tr w:rsidR="00DD0B23" w:rsidRPr="00DD0B23" w14:paraId="5EDD3522"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15026B58"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Number of articles for which full text was available via Europe PMC with a CC-BY or CC-0 licence</w:t>
            </w:r>
          </w:p>
        </w:tc>
        <w:tc>
          <w:tcPr>
            <w:tcW w:w="0" w:type="auto"/>
            <w:tcBorders>
              <w:top w:val="outset" w:sz="2" w:space="0" w:color="auto"/>
              <w:left w:val="outset" w:sz="2" w:space="0" w:color="auto"/>
              <w:bottom w:val="single" w:sz="6" w:space="0" w:color="F2F2F2"/>
              <w:right w:val="outset" w:sz="2" w:space="0" w:color="auto"/>
            </w:tcBorders>
            <w:hideMark/>
          </w:tcPr>
          <w:p w14:paraId="18DCCA1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3,041</w:t>
            </w:r>
          </w:p>
        </w:tc>
        <w:tc>
          <w:tcPr>
            <w:tcW w:w="0" w:type="auto"/>
            <w:tcBorders>
              <w:top w:val="outset" w:sz="2" w:space="0" w:color="auto"/>
              <w:left w:val="outset" w:sz="2" w:space="0" w:color="auto"/>
              <w:bottom w:val="single" w:sz="6" w:space="0" w:color="F2F2F2"/>
              <w:right w:val="outset" w:sz="2" w:space="0" w:color="auto"/>
            </w:tcBorders>
            <w:hideMark/>
          </w:tcPr>
          <w:p w14:paraId="694193E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2,931</w:t>
            </w:r>
          </w:p>
        </w:tc>
        <w:tc>
          <w:tcPr>
            <w:tcW w:w="0" w:type="auto"/>
            <w:tcBorders>
              <w:top w:val="outset" w:sz="2" w:space="0" w:color="auto"/>
              <w:left w:val="outset" w:sz="2" w:space="0" w:color="auto"/>
              <w:bottom w:val="single" w:sz="6" w:space="0" w:color="F2F2F2"/>
              <w:right w:val="outset" w:sz="2" w:space="0" w:color="auto"/>
            </w:tcBorders>
            <w:hideMark/>
          </w:tcPr>
          <w:p w14:paraId="13D3933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3,251</w:t>
            </w:r>
          </w:p>
        </w:tc>
        <w:tc>
          <w:tcPr>
            <w:tcW w:w="0" w:type="auto"/>
            <w:tcBorders>
              <w:top w:val="outset" w:sz="2" w:space="0" w:color="auto"/>
              <w:left w:val="outset" w:sz="2" w:space="0" w:color="auto"/>
              <w:bottom w:val="single" w:sz="6" w:space="0" w:color="F2F2F2"/>
              <w:right w:val="outset" w:sz="2" w:space="0" w:color="auto"/>
            </w:tcBorders>
            <w:hideMark/>
          </w:tcPr>
          <w:p w14:paraId="36C40C8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91%</w:t>
            </w:r>
          </w:p>
        </w:tc>
        <w:tc>
          <w:tcPr>
            <w:tcW w:w="0" w:type="auto"/>
            <w:tcBorders>
              <w:top w:val="outset" w:sz="2" w:space="0" w:color="auto"/>
              <w:left w:val="outset" w:sz="2" w:space="0" w:color="auto"/>
              <w:bottom w:val="single" w:sz="6" w:space="0" w:color="F2F2F2"/>
              <w:right w:val="outset" w:sz="2" w:space="0" w:color="auto"/>
            </w:tcBorders>
            <w:hideMark/>
          </w:tcPr>
          <w:p w14:paraId="1A20BB6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87%</w:t>
            </w:r>
          </w:p>
        </w:tc>
        <w:tc>
          <w:tcPr>
            <w:tcW w:w="0" w:type="auto"/>
            <w:tcBorders>
              <w:top w:val="outset" w:sz="2" w:space="0" w:color="auto"/>
              <w:left w:val="outset" w:sz="2" w:space="0" w:color="auto"/>
              <w:bottom w:val="single" w:sz="6" w:space="0" w:color="F2F2F2"/>
              <w:right w:val="outset" w:sz="2" w:space="0" w:color="auto"/>
            </w:tcBorders>
            <w:hideMark/>
          </w:tcPr>
          <w:p w14:paraId="74C258F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90%</w:t>
            </w:r>
          </w:p>
        </w:tc>
      </w:tr>
    </w:tbl>
    <w:p w14:paraId="674C34FD"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w:t>
      </w:r>
    </w:p>
    <w:p w14:paraId="7199AD5E"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In aggregate, there are 348 articles for which COAF has paid an APC and which are not compliant with our requirements – this is 10% of the total number of all APC articles (see table 6). As in previous years, hybrid journals remain the overwhelming source of non-compliance (93%). The total spend on these non-compliant articles is £823,635. Since some of these articles were split between Research Councils UK and COAF, the total amount charged to COAF for these non-compliant articles is £770,351. If payments are made, we fully expect services to be delivered in line with our policy.</w:t>
      </w:r>
    </w:p>
    <w:p w14:paraId="2F9CD8B9"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Looking at the 348 non-compliant hybrid articles, 63% are missing from Europe PMC and the remainder are available, but under an incorrect or unknown licence.</w:t>
      </w:r>
    </w:p>
    <w:p w14:paraId="2F330880" w14:textId="77777777" w:rsidR="00DD0B23" w:rsidRPr="00DD0B23" w:rsidRDefault="00DD0B23" w:rsidP="00DD0B23">
      <w:pPr>
        <w:shd w:val="clear" w:color="auto" w:fill="FFFFFF"/>
        <w:spacing w:beforeAutospacing="1" w:after="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lastRenderedPageBreak/>
        <w:t>We continue to urge subscription publishers to develop better workflows to make sure that COAF-attributed articles, for which an APC has been levied, are deposited in PMC in line with our requirements. This issue of continuing non-compliance was considered as part of </w:t>
      </w:r>
      <w:hyperlink r:id="rId12" w:history="1">
        <w:r w:rsidRPr="00DD0B23">
          <w:rPr>
            <w:rFonts w:ascii="Helvetica" w:eastAsia="Times New Roman" w:hAnsi="Helvetica" w:cs="Helvetica"/>
            <w:color w:val="003170"/>
            <w:spacing w:val="4"/>
            <w:sz w:val="24"/>
            <w:szCs w:val="24"/>
            <w:u w:val="single"/>
            <w:lang w:eastAsia="en-GB"/>
          </w:rPr>
          <w:t>Wellcome’s recent open access policy review</w:t>
        </w:r>
      </w:hyperlink>
      <w:r w:rsidRPr="00DD0B23">
        <w:rPr>
          <w:rFonts w:ascii="Helvetica" w:eastAsia="Times New Roman" w:hAnsi="Helvetica" w:cs="Helvetica"/>
          <w:color w:val="333333"/>
          <w:spacing w:val="4"/>
          <w:sz w:val="24"/>
          <w:szCs w:val="24"/>
          <w:lang w:eastAsia="en-GB"/>
        </w:rPr>
        <w:t> and contributed to the decision that, from 1 January 2020, we will no longer fund APCs in subscription journals unless they are covered by a </w:t>
      </w:r>
      <w:hyperlink r:id="rId13" w:tgtFrame="_blank" w:history="1">
        <w:r w:rsidRPr="00DD0B23">
          <w:rPr>
            <w:rFonts w:ascii="Helvetica" w:eastAsia="Times New Roman" w:hAnsi="Helvetica" w:cs="Helvetica"/>
            <w:color w:val="003170"/>
            <w:spacing w:val="4"/>
            <w:sz w:val="24"/>
            <w:szCs w:val="24"/>
            <w:u w:val="single"/>
            <w:lang w:eastAsia="en-GB"/>
          </w:rPr>
          <w:t>transformative agreement(opens in a new tab)</w:t>
        </w:r>
      </w:hyperlink>
      <w:r w:rsidRPr="00DD0B23">
        <w:rPr>
          <w:rFonts w:ascii="Helvetica" w:eastAsia="Times New Roman" w:hAnsi="Helvetica" w:cs="Helvetica"/>
          <w:color w:val="333333"/>
          <w:spacing w:val="4"/>
          <w:sz w:val="24"/>
          <w:szCs w:val="24"/>
          <w:lang w:eastAsia="en-GB"/>
        </w:rPr>
        <w:t>.</w:t>
      </w:r>
    </w:p>
    <w:p w14:paraId="53D9E16D" w14:textId="77777777" w:rsidR="00DD0B23" w:rsidRP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Table 6: non-compliance - fully OA journals vs hybrid journals, 2017/18</w:t>
      </w:r>
    </w:p>
    <w:tbl>
      <w:tblPr>
        <w:tblW w:w="7500" w:type="dxa"/>
        <w:tblCellMar>
          <w:left w:w="0" w:type="dxa"/>
          <w:right w:w="0" w:type="dxa"/>
        </w:tblCellMar>
        <w:tblLook w:val="04A0" w:firstRow="1" w:lastRow="0" w:firstColumn="1" w:lastColumn="0" w:noHBand="0" w:noVBand="1"/>
      </w:tblPr>
      <w:tblGrid>
        <w:gridCol w:w="1872"/>
        <w:gridCol w:w="1792"/>
        <w:gridCol w:w="1535"/>
        <w:gridCol w:w="2301"/>
      </w:tblGrid>
      <w:tr w:rsidR="00DD0B23" w:rsidRPr="00DD0B23" w14:paraId="3543572B" w14:textId="77777777" w:rsidTr="00DD0B23">
        <w:trPr>
          <w:tblHeader/>
        </w:trPr>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68AA0503"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 </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5D8F2BF0"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Published articles for 2017/18</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58958CF3"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Non-compliant articles</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7C4D1C4B"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Percentage of non-compliant articles</w:t>
            </w:r>
          </w:p>
        </w:tc>
      </w:tr>
      <w:tr w:rsidR="00DD0B23" w:rsidRPr="00DD0B23" w14:paraId="6F14EE72"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noWrap/>
            <w:hideMark/>
          </w:tcPr>
          <w:p w14:paraId="7373D214"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Fully OA journals</w:t>
            </w:r>
          </w:p>
        </w:tc>
        <w:tc>
          <w:tcPr>
            <w:tcW w:w="0" w:type="auto"/>
            <w:tcBorders>
              <w:top w:val="outset" w:sz="2" w:space="0" w:color="auto"/>
              <w:left w:val="outset" w:sz="2" w:space="0" w:color="auto"/>
              <w:bottom w:val="single" w:sz="6" w:space="0" w:color="F2F2F2"/>
              <w:right w:val="outset" w:sz="2" w:space="0" w:color="auto"/>
            </w:tcBorders>
            <w:hideMark/>
          </w:tcPr>
          <w:p w14:paraId="3D4F31B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1,154</w:t>
            </w:r>
          </w:p>
        </w:tc>
        <w:tc>
          <w:tcPr>
            <w:tcW w:w="0" w:type="auto"/>
            <w:tcBorders>
              <w:top w:val="outset" w:sz="2" w:space="0" w:color="auto"/>
              <w:left w:val="outset" w:sz="2" w:space="0" w:color="auto"/>
              <w:bottom w:val="single" w:sz="6" w:space="0" w:color="F2F2F2"/>
              <w:right w:val="outset" w:sz="2" w:space="0" w:color="auto"/>
            </w:tcBorders>
            <w:hideMark/>
          </w:tcPr>
          <w:p w14:paraId="22331B6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25</w:t>
            </w:r>
          </w:p>
        </w:tc>
        <w:tc>
          <w:tcPr>
            <w:tcW w:w="0" w:type="auto"/>
            <w:tcBorders>
              <w:top w:val="outset" w:sz="2" w:space="0" w:color="auto"/>
              <w:left w:val="outset" w:sz="2" w:space="0" w:color="auto"/>
              <w:bottom w:val="single" w:sz="6" w:space="0" w:color="F2F2F2"/>
              <w:right w:val="outset" w:sz="2" w:space="0" w:color="auto"/>
            </w:tcBorders>
            <w:hideMark/>
          </w:tcPr>
          <w:p w14:paraId="1DAF747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w:t>
            </w:r>
          </w:p>
        </w:tc>
      </w:tr>
      <w:tr w:rsidR="00DD0B23" w:rsidRPr="00DD0B23" w14:paraId="60B404D3"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110C821B"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Hybrid journals</w:t>
            </w:r>
          </w:p>
        </w:tc>
        <w:tc>
          <w:tcPr>
            <w:tcW w:w="0" w:type="auto"/>
            <w:tcBorders>
              <w:top w:val="outset" w:sz="2" w:space="0" w:color="auto"/>
              <w:left w:val="outset" w:sz="2" w:space="0" w:color="auto"/>
              <w:bottom w:val="single" w:sz="6" w:space="0" w:color="F2F2F2"/>
              <w:right w:val="outset" w:sz="2" w:space="0" w:color="auto"/>
            </w:tcBorders>
            <w:hideMark/>
          </w:tcPr>
          <w:p w14:paraId="27E7EE7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2,447</w:t>
            </w:r>
          </w:p>
        </w:tc>
        <w:tc>
          <w:tcPr>
            <w:tcW w:w="0" w:type="auto"/>
            <w:tcBorders>
              <w:top w:val="outset" w:sz="2" w:space="0" w:color="auto"/>
              <w:left w:val="outset" w:sz="2" w:space="0" w:color="auto"/>
              <w:bottom w:val="single" w:sz="6" w:space="0" w:color="F2F2F2"/>
              <w:right w:val="outset" w:sz="2" w:space="0" w:color="auto"/>
            </w:tcBorders>
            <w:hideMark/>
          </w:tcPr>
          <w:p w14:paraId="07B549D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323</w:t>
            </w:r>
          </w:p>
        </w:tc>
        <w:tc>
          <w:tcPr>
            <w:tcW w:w="0" w:type="auto"/>
            <w:tcBorders>
              <w:top w:val="outset" w:sz="2" w:space="0" w:color="auto"/>
              <w:left w:val="outset" w:sz="2" w:space="0" w:color="auto"/>
              <w:bottom w:val="single" w:sz="6" w:space="0" w:color="F2F2F2"/>
              <w:right w:val="outset" w:sz="2" w:space="0" w:color="auto"/>
            </w:tcBorders>
            <w:hideMark/>
          </w:tcPr>
          <w:p w14:paraId="50DD9BE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13%</w:t>
            </w:r>
          </w:p>
        </w:tc>
      </w:tr>
      <w:tr w:rsidR="00DD0B23" w:rsidRPr="00DD0B23" w14:paraId="6AF0B460"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752A0D28"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w:t>
            </w:r>
          </w:p>
        </w:tc>
        <w:tc>
          <w:tcPr>
            <w:tcW w:w="0" w:type="auto"/>
            <w:tcBorders>
              <w:top w:val="outset" w:sz="2" w:space="0" w:color="auto"/>
              <w:left w:val="outset" w:sz="2" w:space="0" w:color="auto"/>
              <w:bottom w:val="single" w:sz="6" w:space="0" w:color="F2F2F2"/>
              <w:right w:val="outset" w:sz="2" w:space="0" w:color="auto"/>
            </w:tcBorders>
            <w:hideMark/>
          </w:tcPr>
          <w:p w14:paraId="6947B70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3,601</w:t>
            </w:r>
          </w:p>
        </w:tc>
        <w:tc>
          <w:tcPr>
            <w:tcW w:w="0" w:type="auto"/>
            <w:tcBorders>
              <w:top w:val="outset" w:sz="2" w:space="0" w:color="auto"/>
              <w:left w:val="outset" w:sz="2" w:space="0" w:color="auto"/>
              <w:bottom w:val="single" w:sz="6" w:space="0" w:color="F2F2F2"/>
              <w:right w:val="outset" w:sz="2" w:space="0" w:color="auto"/>
            </w:tcBorders>
            <w:hideMark/>
          </w:tcPr>
          <w:p w14:paraId="7F469A4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348</w:t>
            </w:r>
          </w:p>
        </w:tc>
        <w:tc>
          <w:tcPr>
            <w:tcW w:w="0" w:type="auto"/>
            <w:tcBorders>
              <w:top w:val="outset" w:sz="2" w:space="0" w:color="auto"/>
              <w:left w:val="outset" w:sz="2" w:space="0" w:color="auto"/>
              <w:bottom w:val="single" w:sz="6" w:space="0" w:color="F2F2F2"/>
              <w:right w:val="outset" w:sz="2" w:space="0" w:color="auto"/>
            </w:tcBorders>
            <w:hideMark/>
          </w:tcPr>
          <w:p w14:paraId="5299A235"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w:t>
            </w:r>
          </w:p>
        </w:tc>
      </w:tr>
    </w:tbl>
    <w:p w14:paraId="2F44C102"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w:t>
      </w:r>
    </w:p>
    <w:p w14:paraId="7BAD468F" w14:textId="77777777" w:rsid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Compliance analysis (see table 7) of the top five publishers reveals that all five have more than 10 non-compliant papers. This represents 58% of the total number of non-compliant papers. Elsevier, Springer Nature and Wiley all have higher rates of non-compliance than last year. Oxford University Press have reduced their non-compliance from 34% last year to 5% this year.</w:t>
      </w:r>
    </w:p>
    <w:p w14:paraId="4178DE2D"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p>
    <w:p w14:paraId="54F0327F" w14:textId="77777777" w:rsidR="00DD0B23" w:rsidRPr="00DD0B23" w:rsidRDefault="00DD0B23" w:rsidP="00DD0B23">
      <w:pPr>
        <w:shd w:val="clear" w:color="auto" w:fill="FFFFFF"/>
        <w:spacing w:after="0"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Table 7: non-compliance – top five publishers by volume</w:t>
      </w:r>
    </w:p>
    <w:tbl>
      <w:tblPr>
        <w:tblW w:w="7500" w:type="dxa"/>
        <w:tblCellMar>
          <w:left w:w="0" w:type="dxa"/>
          <w:right w:w="0" w:type="dxa"/>
        </w:tblCellMar>
        <w:tblLook w:val="04A0" w:firstRow="1" w:lastRow="0" w:firstColumn="1" w:lastColumn="0" w:noHBand="0" w:noVBand="1"/>
      </w:tblPr>
      <w:tblGrid>
        <w:gridCol w:w="2485"/>
        <w:gridCol w:w="1018"/>
        <w:gridCol w:w="1310"/>
        <w:gridCol w:w="1246"/>
        <w:gridCol w:w="1441"/>
      </w:tblGrid>
      <w:tr w:rsidR="00DD0B23" w:rsidRPr="00DD0B23" w14:paraId="381B02FD" w14:textId="77777777" w:rsidTr="00DD0B23">
        <w:trPr>
          <w:tblHeader/>
        </w:trPr>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1DCE1D49" w14:textId="77777777" w:rsidR="00DD0B23" w:rsidRPr="00DD0B23" w:rsidRDefault="00DD0B23" w:rsidP="00DD0B23">
            <w:pPr>
              <w:spacing w:after="0" w:line="240" w:lineRule="auto"/>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Publisher</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0746499F"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Journal type</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2E8312E8"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Number of articles</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75792652"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Non-compliant</w:t>
            </w:r>
          </w:p>
        </w:tc>
        <w:tc>
          <w:tcPr>
            <w:tcW w:w="0" w:type="auto"/>
            <w:tcBorders>
              <w:top w:val="outset" w:sz="2" w:space="0" w:color="auto"/>
              <w:left w:val="outset" w:sz="2" w:space="0" w:color="auto"/>
              <w:bottom w:val="single" w:sz="6" w:space="0" w:color="FFFFFF"/>
              <w:right w:val="outset" w:sz="2" w:space="0" w:color="auto"/>
            </w:tcBorders>
            <w:shd w:val="clear" w:color="auto" w:fill="002E45"/>
            <w:vAlign w:val="center"/>
            <w:hideMark/>
          </w:tcPr>
          <w:p w14:paraId="43C0020A" w14:textId="77777777" w:rsidR="00DD0B23" w:rsidRPr="00DD0B23" w:rsidRDefault="00DD0B23" w:rsidP="00DD0B23">
            <w:pPr>
              <w:spacing w:after="0" w:line="240" w:lineRule="auto"/>
              <w:jc w:val="right"/>
              <w:rPr>
                <w:rFonts w:ascii="Times New Roman" w:eastAsia="Times New Roman" w:hAnsi="Times New Roman" w:cs="Times New Roman"/>
                <w:b/>
                <w:bCs/>
                <w:color w:val="FFFFFF"/>
                <w:sz w:val="24"/>
                <w:szCs w:val="24"/>
                <w:lang w:eastAsia="en-GB"/>
              </w:rPr>
            </w:pPr>
            <w:r w:rsidRPr="00DD0B23">
              <w:rPr>
                <w:rFonts w:ascii="Times New Roman" w:eastAsia="Times New Roman" w:hAnsi="Times New Roman" w:cs="Times New Roman"/>
                <w:b/>
                <w:bCs/>
                <w:color w:val="FFFFFF"/>
                <w:sz w:val="24"/>
                <w:szCs w:val="24"/>
                <w:lang w:eastAsia="en-GB"/>
              </w:rPr>
              <w:t>Non-compliant (%)</w:t>
            </w:r>
          </w:p>
        </w:tc>
      </w:tr>
      <w:tr w:rsidR="00DD0B23" w:rsidRPr="00DD0B23" w14:paraId="6FC65473"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7F4E7714"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Elsevier</w:t>
            </w:r>
          </w:p>
        </w:tc>
        <w:tc>
          <w:tcPr>
            <w:tcW w:w="0" w:type="auto"/>
            <w:tcBorders>
              <w:top w:val="outset" w:sz="2" w:space="0" w:color="auto"/>
              <w:left w:val="outset" w:sz="2" w:space="0" w:color="auto"/>
              <w:bottom w:val="single" w:sz="6" w:space="0" w:color="F2F2F2"/>
              <w:right w:val="outset" w:sz="2" w:space="0" w:color="auto"/>
            </w:tcBorders>
            <w:hideMark/>
          </w:tcPr>
          <w:p w14:paraId="003B2BF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7911386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118</w:t>
            </w:r>
          </w:p>
        </w:tc>
        <w:tc>
          <w:tcPr>
            <w:tcW w:w="0" w:type="auto"/>
            <w:tcBorders>
              <w:top w:val="outset" w:sz="2" w:space="0" w:color="auto"/>
              <w:left w:val="outset" w:sz="2" w:space="0" w:color="auto"/>
              <w:bottom w:val="single" w:sz="6" w:space="0" w:color="F2F2F2"/>
              <w:right w:val="outset" w:sz="2" w:space="0" w:color="auto"/>
            </w:tcBorders>
            <w:hideMark/>
          </w:tcPr>
          <w:p w14:paraId="24AEAE2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w:t>
            </w:r>
          </w:p>
        </w:tc>
        <w:tc>
          <w:tcPr>
            <w:tcW w:w="0" w:type="auto"/>
            <w:tcBorders>
              <w:top w:val="outset" w:sz="2" w:space="0" w:color="auto"/>
              <w:left w:val="outset" w:sz="2" w:space="0" w:color="auto"/>
              <w:bottom w:val="single" w:sz="6" w:space="0" w:color="F2F2F2"/>
              <w:right w:val="outset" w:sz="2" w:space="0" w:color="auto"/>
            </w:tcBorders>
            <w:hideMark/>
          </w:tcPr>
          <w:p w14:paraId="5C5CD0E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w:t>
            </w:r>
          </w:p>
        </w:tc>
      </w:tr>
      <w:tr w:rsidR="00DD0B23" w:rsidRPr="00DD0B23" w14:paraId="6E031017"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6A2C4A1"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4D5E09E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2BAF1D0B"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697</w:t>
            </w:r>
          </w:p>
        </w:tc>
        <w:tc>
          <w:tcPr>
            <w:tcW w:w="0" w:type="auto"/>
            <w:tcBorders>
              <w:top w:val="outset" w:sz="2" w:space="0" w:color="auto"/>
              <w:left w:val="outset" w:sz="2" w:space="0" w:color="auto"/>
              <w:bottom w:val="single" w:sz="6" w:space="0" w:color="F2F2F2"/>
              <w:right w:val="outset" w:sz="2" w:space="0" w:color="auto"/>
            </w:tcBorders>
            <w:hideMark/>
          </w:tcPr>
          <w:p w14:paraId="77F9E9F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88</w:t>
            </w:r>
          </w:p>
        </w:tc>
        <w:tc>
          <w:tcPr>
            <w:tcW w:w="0" w:type="auto"/>
            <w:tcBorders>
              <w:top w:val="outset" w:sz="2" w:space="0" w:color="auto"/>
              <w:left w:val="outset" w:sz="2" w:space="0" w:color="auto"/>
              <w:bottom w:val="single" w:sz="6" w:space="0" w:color="F2F2F2"/>
              <w:right w:val="outset" w:sz="2" w:space="0" w:color="auto"/>
            </w:tcBorders>
            <w:hideMark/>
          </w:tcPr>
          <w:p w14:paraId="499180B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13%</w:t>
            </w:r>
          </w:p>
        </w:tc>
      </w:tr>
      <w:tr w:rsidR="00DD0B23" w:rsidRPr="00DD0B23" w14:paraId="009B1149"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068D43FC"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7475D75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67D1FDD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815</w:t>
            </w:r>
          </w:p>
        </w:tc>
        <w:tc>
          <w:tcPr>
            <w:tcW w:w="0" w:type="auto"/>
            <w:tcBorders>
              <w:top w:val="outset" w:sz="2" w:space="0" w:color="auto"/>
              <w:left w:val="outset" w:sz="2" w:space="0" w:color="auto"/>
              <w:bottom w:val="single" w:sz="6" w:space="0" w:color="F2F2F2"/>
              <w:right w:val="outset" w:sz="2" w:space="0" w:color="auto"/>
            </w:tcBorders>
            <w:hideMark/>
          </w:tcPr>
          <w:p w14:paraId="7E03082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98</w:t>
            </w:r>
          </w:p>
        </w:tc>
        <w:tc>
          <w:tcPr>
            <w:tcW w:w="0" w:type="auto"/>
            <w:tcBorders>
              <w:top w:val="outset" w:sz="2" w:space="0" w:color="auto"/>
              <w:left w:val="outset" w:sz="2" w:space="0" w:color="auto"/>
              <w:bottom w:val="single" w:sz="6" w:space="0" w:color="F2F2F2"/>
              <w:right w:val="outset" w:sz="2" w:space="0" w:color="auto"/>
            </w:tcBorders>
            <w:hideMark/>
          </w:tcPr>
          <w:p w14:paraId="555D8A9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12%</w:t>
            </w:r>
          </w:p>
        </w:tc>
      </w:tr>
      <w:tr w:rsidR="00DD0B23" w:rsidRPr="00DD0B23" w14:paraId="2D72D4FD"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57F2E11B"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Springer Nature</w:t>
            </w:r>
          </w:p>
        </w:tc>
        <w:tc>
          <w:tcPr>
            <w:tcW w:w="0" w:type="auto"/>
            <w:tcBorders>
              <w:top w:val="outset" w:sz="2" w:space="0" w:color="auto"/>
              <w:left w:val="outset" w:sz="2" w:space="0" w:color="auto"/>
              <w:bottom w:val="single" w:sz="6" w:space="0" w:color="F2F2F2"/>
              <w:right w:val="outset" w:sz="2" w:space="0" w:color="auto"/>
            </w:tcBorders>
            <w:hideMark/>
          </w:tcPr>
          <w:p w14:paraId="1BB29C8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2E2AE20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502</w:t>
            </w:r>
          </w:p>
        </w:tc>
        <w:tc>
          <w:tcPr>
            <w:tcW w:w="0" w:type="auto"/>
            <w:tcBorders>
              <w:top w:val="outset" w:sz="2" w:space="0" w:color="auto"/>
              <w:left w:val="outset" w:sz="2" w:space="0" w:color="auto"/>
              <w:bottom w:val="single" w:sz="6" w:space="0" w:color="F2F2F2"/>
              <w:right w:val="outset" w:sz="2" w:space="0" w:color="auto"/>
            </w:tcBorders>
            <w:hideMark/>
          </w:tcPr>
          <w:p w14:paraId="3E2EB06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w:t>
            </w:r>
          </w:p>
        </w:tc>
        <w:tc>
          <w:tcPr>
            <w:tcW w:w="0" w:type="auto"/>
            <w:tcBorders>
              <w:top w:val="outset" w:sz="2" w:space="0" w:color="auto"/>
              <w:left w:val="outset" w:sz="2" w:space="0" w:color="auto"/>
              <w:bottom w:val="single" w:sz="6" w:space="0" w:color="F2F2F2"/>
              <w:right w:val="outset" w:sz="2" w:space="0" w:color="auto"/>
            </w:tcBorders>
            <w:hideMark/>
          </w:tcPr>
          <w:p w14:paraId="2031B17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0%</w:t>
            </w:r>
          </w:p>
        </w:tc>
      </w:tr>
      <w:tr w:rsidR="00DD0B23" w:rsidRPr="00DD0B23" w14:paraId="65C64528"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961B9D0"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25223A7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2D2A32F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182</w:t>
            </w:r>
          </w:p>
        </w:tc>
        <w:tc>
          <w:tcPr>
            <w:tcW w:w="0" w:type="auto"/>
            <w:tcBorders>
              <w:top w:val="outset" w:sz="2" w:space="0" w:color="auto"/>
              <w:left w:val="outset" w:sz="2" w:space="0" w:color="auto"/>
              <w:bottom w:val="single" w:sz="6" w:space="0" w:color="F2F2F2"/>
              <w:right w:val="outset" w:sz="2" w:space="0" w:color="auto"/>
            </w:tcBorders>
            <w:hideMark/>
          </w:tcPr>
          <w:p w14:paraId="46F1DCA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30</w:t>
            </w:r>
          </w:p>
        </w:tc>
        <w:tc>
          <w:tcPr>
            <w:tcW w:w="0" w:type="auto"/>
            <w:tcBorders>
              <w:top w:val="outset" w:sz="2" w:space="0" w:color="auto"/>
              <w:left w:val="outset" w:sz="2" w:space="0" w:color="auto"/>
              <w:bottom w:val="single" w:sz="6" w:space="0" w:color="F2F2F2"/>
              <w:right w:val="outset" w:sz="2" w:space="0" w:color="auto"/>
            </w:tcBorders>
            <w:hideMark/>
          </w:tcPr>
          <w:p w14:paraId="47AA27D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16%</w:t>
            </w:r>
          </w:p>
        </w:tc>
      </w:tr>
      <w:tr w:rsidR="00DD0B23" w:rsidRPr="00DD0B23" w14:paraId="420748CD"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0257ED45"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02362C7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73546DC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684</w:t>
            </w:r>
          </w:p>
        </w:tc>
        <w:tc>
          <w:tcPr>
            <w:tcW w:w="0" w:type="auto"/>
            <w:tcBorders>
              <w:top w:val="outset" w:sz="2" w:space="0" w:color="auto"/>
              <w:left w:val="outset" w:sz="2" w:space="0" w:color="auto"/>
              <w:bottom w:val="single" w:sz="6" w:space="0" w:color="F2F2F2"/>
              <w:right w:val="outset" w:sz="2" w:space="0" w:color="auto"/>
            </w:tcBorders>
            <w:hideMark/>
          </w:tcPr>
          <w:p w14:paraId="0904640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32</w:t>
            </w:r>
          </w:p>
        </w:tc>
        <w:tc>
          <w:tcPr>
            <w:tcW w:w="0" w:type="auto"/>
            <w:tcBorders>
              <w:top w:val="outset" w:sz="2" w:space="0" w:color="auto"/>
              <w:left w:val="outset" w:sz="2" w:space="0" w:color="auto"/>
              <w:bottom w:val="single" w:sz="6" w:space="0" w:color="F2F2F2"/>
              <w:right w:val="outset" w:sz="2" w:space="0" w:color="auto"/>
            </w:tcBorders>
            <w:hideMark/>
          </w:tcPr>
          <w:p w14:paraId="087D17D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5%</w:t>
            </w:r>
          </w:p>
        </w:tc>
      </w:tr>
      <w:tr w:rsidR="00DD0B23" w:rsidRPr="00DD0B23" w14:paraId="53D9B1A6"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C80A9D4"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Wiley</w:t>
            </w:r>
          </w:p>
        </w:tc>
        <w:tc>
          <w:tcPr>
            <w:tcW w:w="0" w:type="auto"/>
            <w:tcBorders>
              <w:top w:val="outset" w:sz="2" w:space="0" w:color="auto"/>
              <w:left w:val="outset" w:sz="2" w:space="0" w:color="auto"/>
              <w:bottom w:val="single" w:sz="6" w:space="0" w:color="F2F2F2"/>
              <w:right w:val="outset" w:sz="2" w:space="0" w:color="auto"/>
            </w:tcBorders>
            <w:hideMark/>
          </w:tcPr>
          <w:p w14:paraId="5EFFFD2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1DA0E5B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21</w:t>
            </w:r>
          </w:p>
        </w:tc>
        <w:tc>
          <w:tcPr>
            <w:tcW w:w="0" w:type="auto"/>
            <w:tcBorders>
              <w:top w:val="outset" w:sz="2" w:space="0" w:color="auto"/>
              <w:left w:val="outset" w:sz="2" w:space="0" w:color="auto"/>
              <w:bottom w:val="single" w:sz="6" w:space="0" w:color="F2F2F2"/>
              <w:right w:val="outset" w:sz="2" w:space="0" w:color="auto"/>
            </w:tcBorders>
            <w:hideMark/>
          </w:tcPr>
          <w:p w14:paraId="409A728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w:t>
            </w:r>
          </w:p>
        </w:tc>
        <w:tc>
          <w:tcPr>
            <w:tcW w:w="0" w:type="auto"/>
            <w:tcBorders>
              <w:top w:val="outset" w:sz="2" w:space="0" w:color="auto"/>
              <w:left w:val="outset" w:sz="2" w:space="0" w:color="auto"/>
              <w:bottom w:val="single" w:sz="6" w:space="0" w:color="F2F2F2"/>
              <w:right w:val="outset" w:sz="2" w:space="0" w:color="auto"/>
            </w:tcBorders>
            <w:hideMark/>
          </w:tcPr>
          <w:p w14:paraId="002984D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5%</w:t>
            </w:r>
          </w:p>
        </w:tc>
      </w:tr>
      <w:tr w:rsidR="00DD0B23" w:rsidRPr="00DD0B23" w14:paraId="061D55F7"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61811814"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3085994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1055DC63"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327</w:t>
            </w:r>
          </w:p>
        </w:tc>
        <w:tc>
          <w:tcPr>
            <w:tcW w:w="0" w:type="auto"/>
            <w:tcBorders>
              <w:top w:val="outset" w:sz="2" w:space="0" w:color="auto"/>
              <w:left w:val="outset" w:sz="2" w:space="0" w:color="auto"/>
              <w:bottom w:val="single" w:sz="6" w:space="0" w:color="F2F2F2"/>
              <w:right w:val="outset" w:sz="2" w:space="0" w:color="auto"/>
            </w:tcBorders>
            <w:hideMark/>
          </w:tcPr>
          <w:p w14:paraId="48F4802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46</w:t>
            </w:r>
          </w:p>
        </w:tc>
        <w:tc>
          <w:tcPr>
            <w:tcW w:w="0" w:type="auto"/>
            <w:tcBorders>
              <w:top w:val="outset" w:sz="2" w:space="0" w:color="auto"/>
              <w:left w:val="outset" w:sz="2" w:space="0" w:color="auto"/>
              <w:bottom w:val="single" w:sz="6" w:space="0" w:color="F2F2F2"/>
              <w:right w:val="outset" w:sz="2" w:space="0" w:color="auto"/>
            </w:tcBorders>
            <w:hideMark/>
          </w:tcPr>
          <w:p w14:paraId="66E54F3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14%</w:t>
            </w:r>
          </w:p>
        </w:tc>
      </w:tr>
      <w:tr w:rsidR="00DD0B23" w:rsidRPr="00DD0B23" w14:paraId="320D5595"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E779BCE"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3DA0F4B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62D90A3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348</w:t>
            </w:r>
          </w:p>
        </w:tc>
        <w:tc>
          <w:tcPr>
            <w:tcW w:w="0" w:type="auto"/>
            <w:tcBorders>
              <w:top w:val="outset" w:sz="2" w:space="0" w:color="auto"/>
              <w:left w:val="outset" w:sz="2" w:space="0" w:color="auto"/>
              <w:bottom w:val="single" w:sz="6" w:space="0" w:color="F2F2F2"/>
              <w:right w:val="outset" w:sz="2" w:space="0" w:color="auto"/>
            </w:tcBorders>
            <w:hideMark/>
          </w:tcPr>
          <w:p w14:paraId="3B6AA65E"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47</w:t>
            </w:r>
          </w:p>
        </w:tc>
        <w:tc>
          <w:tcPr>
            <w:tcW w:w="0" w:type="auto"/>
            <w:tcBorders>
              <w:top w:val="outset" w:sz="2" w:space="0" w:color="auto"/>
              <w:left w:val="outset" w:sz="2" w:space="0" w:color="auto"/>
              <w:bottom w:val="single" w:sz="6" w:space="0" w:color="F2F2F2"/>
              <w:right w:val="outset" w:sz="2" w:space="0" w:color="auto"/>
            </w:tcBorders>
            <w:hideMark/>
          </w:tcPr>
          <w:p w14:paraId="057D46A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14%</w:t>
            </w:r>
          </w:p>
        </w:tc>
      </w:tr>
      <w:tr w:rsidR="00DD0B23" w:rsidRPr="00DD0B23" w14:paraId="79F770FA"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noWrap/>
            <w:hideMark/>
          </w:tcPr>
          <w:p w14:paraId="4498FCD6"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Oxford University Press</w:t>
            </w:r>
          </w:p>
        </w:tc>
        <w:tc>
          <w:tcPr>
            <w:tcW w:w="0" w:type="auto"/>
            <w:tcBorders>
              <w:top w:val="outset" w:sz="2" w:space="0" w:color="auto"/>
              <w:left w:val="outset" w:sz="2" w:space="0" w:color="auto"/>
              <w:bottom w:val="single" w:sz="6" w:space="0" w:color="F2F2F2"/>
              <w:right w:val="outset" w:sz="2" w:space="0" w:color="auto"/>
            </w:tcBorders>
            <w:hideMark/>
          </w:tcPr>
          <w:p w14:paraId="3C287110"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76864C0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w:t>
            </w:r>
          </w:p>
        </w:tc>
        <w:tc>
          <w:tcPr>
            <w:tcW w:w="0" w:type="auto"/>
            <w:tcBorders>
              <w:top w:val="outset" w:sz="2" w:space="0" w:color="auto"/>
              <w:left w:val="outset" w:sz="2" w:space="0" w:color="auto"/>
              <w:bottom w:val="single" w:sz="6" w:space="0" w:color="F2F2F2"/>
              <w:right w:val="outset" w:sz="2" w:space="0" w:color="auto"/>
            </w:tcBorders>
            <w:hideMark/>
          </w:tcPr>
          <w:p w14:paraId="1920756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0</w:t>
            </w:r>
          </w:p>
        </w:tc>
        <w:tc>
          <w:tcPr>
            <w:tcW w:w="0" w:type="auto"/>
            <w:tcBorders>
              <w:top w:val="outset" w:sz="2" w:space="0" w:color="auto"/>
              <w:left w:val="outset" w:sz="2" w:space="0" w:color="auto"/>
              <w:bottom w:val="single" w:sz="6" w:space="0" w:color="F2F2F2"/>
              <w:right w:val="outset" w:sz="2" w:space="0" w:color="auto"/>
            </w:tcBorders>
            <w:hideMark/>
          </w:tcPr>
          <w:p w14:paraId="0D43B80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0%</w:t>
            </w:r>
          </w:p>
        </w:tc>
      </w:tr>
      <w:tr w:rsidR="00DD0B23" w:rsidRPr="00DD0B23" w14:paraId="40869780"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24B62CDE"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7BE418D6"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7899C1E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254</w:t>
            </w:r>
          </w:p>
        </w:tc>
        <w:tc>
          <w:tcPr>
            <w:tcW w:w="0" w:type="auto"/>
            <w:tcBorders>
              <w:top w:val="outset" w:sz="2" w:space="0" w:color="auto"/>
              <w:left w:val="outset" w:sz="2" w:space="0" w:color="auto"/>
              <w:bottom w:val="single" w:sz="6" w:space="0" w:color="F2F2F2"/>
              <w:right w:val="outset" w:sz="2" w:space="0" w:color="auto"/>
            </w:tcBorders>
            <w:hideMark/>
          </w:tcPr>
          <w:p w14:paraId="3DB1886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14</w:t>
            </w:r>
          </w:p>
        </w:tc>
        <w:tc>
          <w:tcPr>
            <w:tcW w:w="0" w:type="auto"/>
            <w:tcBorders>
              <w:top w:val="outset" w:sz="2" w:space="0" w:color="auto"/>
              <w:left w:val="outset" w:sz="2" w:space="0" w:color="auto"/>
              <w:bottom w:val="single" w:sz="6" w:space="0" w:color="F2F2F2"/>
              <w:right w:val="outset" w:sz="2" w:space="0" w:color="auto"/>
            </w:tcBorders>
            <w:hideMark/>
          </w:tcPr>
          <w:p w14:paraId="5ECB83A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w:t>
            </w:r>
          </w:p>
        </w:tc>
      </w:tr>
      <w:tr w:rsidR="00DD0B23" w:rsidRPr="00DD0B23" w14:paraId="3434D5E5"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066EF0AE"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6913FB4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3E9AE7B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260</w:t>
            </w:r>
          </w:p>
        </w:tc>
        <w:tc>
          <w:tcPr>
            <w:tcW w:w="0" w:type="auto"/>
            <w:tcBorders>
              <w:top w:val="outset" w:sz="2" w:space="0" w:color="auto"/>
              <w:left w:val="outset" w:sz="2" w:space="0" w:color="auto"/>
              <w:bottom w:val="single" w:sz="6" w:space="0" w:color="F2F2F2"/>
              <w:right w:val="outset" w:sz="2" w:space="0" w:color="auto"/>
            </w:tcBorders>
            <w:hideMark/>
          </w:tcPr>
          <w:p w14:paraId="57B8686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14</w:t>
            </w:r>
          </w:p>
        </w:tc>
        <w:tc>
          <w:tcPr>
            <w:tcW w:w="0" w:type="auto"/>
            <w:tcBorders>
              <w:top w:val="outset" w:sz="2" w:space="0" w:color="auto"/>
              <w:left w:val="outset" w:sz="2" w:space="0" w:color="auto"/>
              <w:bottom w:val="single" w:sz="6" w:space="0" w:color="F2F2F2"/>
              <w:right w:val="outset" w:sz="2" w:space="0" w:color="auto"/>
            </w:tcBorders>
            <w:hideMark/>
          </w:tcPr>
          <w:p w14:paraId="5889A96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5%</w:t>
            </w:r>
          </w:p>
        </w:tc>
      </w:tr>
      <w:tr w:rsidR="00DD0B23" w:rsidRPr="00DD0B23" w14:paraId="08B8BE67"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69FE873C"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British Medical Journal</w:t>
            </w:r>
          </w:p>
        </w:tc>
        <w:tc>
          <w:tcPr>
            <w:tcW w:w="0" w:type="auto"/>
            <w:tcBorders>
              <w:top w:val="outset" w:sz="2" w:space="0" w:color="auto"/>
              <w:left w:val="outset" w:sz="2" w:space="0" w:color="auto"/>
              <w:bottom w:val="single" w:sz="6" w:space="0" w:color="F2F2F2"/>
              <w:right w:val="outset" w:sz="2" w:space="0" w:color="auto"/>
            </w:tcBorders>
            <w:hideMark/>
          </w:tcPr>
          <w:p w14:paraId="6496E8DA"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Fully OA</w:t>
            </w:r>
          </w:p>
        </w:tc>
        <w:tc>
          <w:tcPr>
            <w:tcW w:w="0" w:type="auto"/>
            <w:tcBorders>
              <w:top w:val="outset" w:sz="2" w:space="0" w:color="auto"/>
              <w:left w:val="outset" w:sz="2" w:space="0" w:color="auto"/>
              <w:bottom w:val="single" w:sz="6" w:space="0" w:color="F2F2F2"/>
              <w:right w:val="outset" w:sz="2" w:space="0" w:color="auto"/>
            </w:tcBorders>
            <w:hideMark/>
          </w:tcPr>
          <w:p w14:paraId="0C6FEE2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68</w:t>
            </w:r>
          </w:p>
        </w:tc>
        <w:tc>
          <w:tcPr>
            <w:tcW w:w="0" w:type="auto"/>
            <w:tcBorders>
              <w:top w:val="outset" w:sz="2" w:space="0" w:color="auto"/>
              <w:left w:val="outset" w:sz="2" w:space="0" w:color="auto"/>
              <w:bottom w:val="single" w:sz="6" w:space="0" w:color="F2F2F2"/>
              <w:right w:val="outset" w:sz="2" w:space="0" w:color="auto"/>
            </w:tcBorders>
            <w:hideMark/>
          </w:tcPr>
          <w:p w14:paraId="3D102AC8"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3</w:t>
            </w:r>
          </w:p>
        </w:tc>
        <w:tc>
          <w:tcPr>
            <w:tcW w:w="0" w:type="auto"/>
            <w:tcBorders>
              <w:top w:val="outset" w:sz="2" w:space="0" w:color="auto"/>
              <w:left w:val="outset" w:sz="2" w:space="0" w:color="auto"/>
              <w:bottom w:val="single" w:sz="6" w:space="0" w:color="F2F2F2"/>
              <w:right w:val="outset" w:sz="2" w:space="0" w:color="auto"/>
            </w:tcBorders>
            <w:hideMark/>
          </w:tcPr>
          <w:p w14:paraId="3046019D"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4%</w:t>
            </w:r>
          </w:p>
        </w:tc>
      </w:tr>
      <w:tr w:rsidR="00DD0B23" w:rsidRPr="00DD0B23" w14:paraId="231A9405"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326D2B25"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211CE6FC"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Hybrid</w:t>
            </w:r>
          </w:p>
        </w:tc>
        <w:tc>
          <w:tcPr>
            <w:tcW w:w="0" w:type="auto"/>
            <w:tcBorders>
              <w:top w:val="outset" w:sz="2" w:space="0" w:color="auto"/>
              <w:left w:val="outset" w:sz="2" w:space="0" w:color="auto"/>
              <w:bottom w:val="single" w:sz="6" w:space="0" w:color="F2F2F2"/>
              <w:right w:val="outset" w:sz="2" w:space="0" w:color="auto"/>
            </w:tcBorders>
            <w:hideMark/>
          </w:tcPr>
          <w:p w14:paraId="6CD62264"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88</w:t>
            </w:r>
          </w:p>
        </w:tc>
        <w:tc>
          <w:tcPr>
            <w:tcW w:w="0" w:type="auto"/>
            <w:tcBorders>
              <w:top w:val="outset" w:sz="2" w:space="0" w:color="auto"/>
              <w:left w:val="outset" w:sz="2" w:space="0" w:color="auto"/>
              <w:bottom w:val="single" w:sz="6" w:space="0" w:color="F2F2F2"/>
              <w:right w:val="outset" w:sz="2" w:space="0" w:color="auto"/>
            </w:tcBorders>
            <w:hideMark/>
          </w:tcPr>
          <w:p w14:paraId="6DF25627"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10</w:t>
            </w:r>
          </w:p>
        </w:tc>
        <w:tc>
          <w:tcPr>
            <w:tcW w:w="0" w:type="auto"/>
            <w:tcBorders>
              <w:top w:val="outset" w:sz="2" w:space="0" w:color="auto"/>
              <w:left w:val="outset" w:sz="2" w:space="0" w:color="auto"/>
              <w:bottom w:val="single" w:sz="6" w:space="0" w:color="F2F2F2"/>
              <w:right w:val="outset" w:sz="2" w:space="0" w:color="auto"/>
            </w:tcBorders>
            <w:hideMark/>
          </w:tcPr>
          <w:p w14:paraId="04E011E1"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11%</w:t>
            </w:r>
          </w:p>
        </w:tc>
      </w:tr>
      <w:tr w:rsidR="00DD0B23" w:rsidRPr="00DD0B23" w14:paraId="31218CF8" w14:textId="77777777" w:rsidTr="00DD0B23">
        <w:tc>
          <w:tcPr>
            <w:tcW w:w="0" w:type="auto"/>
            <w:tcBorders>
              <w:top w:val="outset" w:sz="2" w:space="0" w:color="auto"/>
              <w:left w:val="outset" w:sz="2" w:space="0" w:color="auto"/>
              <w:bottom w:val="single" w:sz="6" w:space="0" w:color="FFFFFF"/>
              <w:right w:val="outset" w:sz="2" w:space="0" w:color="auto"/>
            </w:tcBorders>
            <w:shd w:val="clear" w:color="auto" w:fill="F2F2F2"/>
            <w:hideMark/>
          </w:tcPr>
          <w:p w14:paraId="4DAD4EE5" w14:textId="77777777" w:rsidR="00DD0B23" w:rsidRPr="00DD0B23" w:rsidRDefault="00DD0B23" w:rsidP="00DD0B23">
            <w:pPr>
              <w:spacing w:after="0" w:line="240" w:lineRule="auto"/>
              <w:rPr>
                <w:rFonts w:ascii="Times New Roman" w:eastAsia="Times New Roman" w:hAnsi="Times New Roman" w:cs="Times New Roman"/>
                <w:b/>
                <w:bCs/>
                <w:color w:val="333333"/>
                <w:sz w:val="24"/>
                <w:szCs w:val="24"/>
                <w:lang w:eastAsia="en-GB"/>
              </w:rPr>
            </w:pPr>
            <w:r w:rsidRPr="00DD0B23">
              <w:rPr>
                <w:rFonts w:ascii="Times New Roman" w:eastAsia="Times New Roman" w:hAnsi="Times New Roman" w:cs="Times New Roman"/>
                <w:b/>
                <w:bCs/>
                <w:color w:val="333333"/>
                <w:sz w:val="24"/>
                <w:szCs w:val="24"/>
                <w:lang w:eastAsia="en-GB"/>
              </w:rPr>
              <w:t>Totals</w:t>
            </w:r>
          </w:p>
        </w:tc>
        <w:tc>
          <w:tcPr>
            <w:tcW w:w="0" w:type="auto"/>
            <w:tcBorders>
              <w:top w:val="outset" w:sz="2" w:space="0" w:color="auto"/>
              <w:left w:val="outset" w:sz="2" w:space="0" w:color="auto"/>
              <w:bottom w:val="single" w:sz="6" w:space="0" w:color="F2F2F2"/>
              <w:right w:val="outset" w:sz="2" w:space="0" w:color="auto"/>
            </w:tcBorders>
            <w:hideMark/>
          </w:tcPr>
          <w:p w14:paraId="0CB8812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color w:val="595959"/>
                <w:sz w:val="24"/>
                <w:szCs w:val="24"/>
                <w:lang w:eastAsia="en-GB"/>
              </w:rPr>
              <w:t> </w:t>
            </w:r>
          </w:p>
        </w:tc>
        <w:tc>
          <w:tcPr>
            <w:tcW w:w="0" w:type="auto"/>
            <w:tcBorders>
              <w:top w:val="outset" w:sz="2" w:space="0" w:color="auto"/>
              <w:left w:val="outset" w:sz="2" w:space="0" w:color="auto"/>
              <w:bottom w:val="single" w:sz="6" w:space="0" w:color="F2F2F2"/>
              <w:right w:val="outset" w:sz="2" w:space="0" w:color="auto"/>
            </w:tcBorders>
            <w:hideMark/>
          </w:tcPr>
          <w:p w14:paraId="1D40A152"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156</w:t>
            </w:r>
          </w:p>
        </w:tc>
        <w:tc>
          <w:tcPr>
            <w:tcW w:w="0" w:type="auto"/>
            <w:tcBorders>
              <w:top w:val="outset" w:sz="2" w:space="0" w:color="auto"/>
              <w:left w:val="outset" w:sz="2" w:space="0" w:color="auto"/>
              <w:bottom w:val="single" w:sz="6" w:space="0" w:color="F2F2F2"/>
              <w:right w:val="outset" w:sz="2" w:space="0" w:color="auto"/>
            </w:tcBorders>
            <w:hideMark/>
          </w:tcPr>
          <w:p w14:paraId="537997EF"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13</w:t>
            </w:r>
          </w:p>
        </w:tc>
        <w:tc>
          <w:tcPr>
            <w:tcW w:w="0" w:type="auto"/>
            <w:tcBorders>
              <w:top w:val="outset" w:sz="2" w:space="0" w:color="auto"/>
              <w:left w:val="outset" w:sz="2" w:space="0" w:color="auto"/>
              <w:bottom w:val="single" w:sz="6" w:space="0" w:color="F2F2F2"/>
              <w:right w:val="outset" w:sz="2" w:space="0" w:color="auto"/>
            </w:tcBorders>
            <w:hideMark/>
          </w:tcPr>
          <w:p w14:paraId="7AC6A129" w14:textId="77777777" w:rsidR="00DD0B23" w:rsidRPr="00DD0B23" w:rsidRDefault="00DD0B23" w:rsidP="00DD0B23">
            <w:pPr>
              <w:spacing w:after="0" w:line="240" w:lineRule="auto"/>
              <w:jc w:val="right"/>
              <w:rPr>
                <w:rFonts w:ascii="Times New Roman" w:eastAsia="Times New Roman" w:hAnsi="Times New Roman" w:cs="Times New Roman"/>
                <w:color w:val="595959"/>
                <w:sz w:val="24"/>
                <w:szCs w:val="24"/>
                <w:lang w:eastAsia="en-GB"/>
              </w:rPr>
            </w:pPr>
            <w:r w:rsidRPr="00DD0B23">
              <w:rPr>
                <w:rFonts w:ascii="Times New Roman" w:eastAsia="Times New Roman" w:hAnsi="Times New Roman" w:cs="Times New Roman"/>
                <w:b/>
                <w:bCs/>
                <w:color w:val="595959"/>
                <w:sz w:val="24"/>
                <w:szCs w:val="24"/>
                <w:lang w:eastAsia="en-GB"/>
              </w:rPr>
              <w:t>8%</w:t>
            </w:r>
          </w:p>
        </w:tc>
      </w:tr>
    </w:tbl>
    <w:p w14:paraId="6F29CF4C"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w:t>
      </w:r>
    </w:p>
    <w:p w14:paraId="32028235" w14:textId="77777777" w:rsidR="00DD0B23" w:rsidRPr="00DD0B23" w:rsidRDefault="00DD0B23" w:rsidP="00DD0B23">
      <w:pPr>
        <w:pBdr>
          <w:top w:val="single" w:sz="6" w:space="0" w:color="D9D9D9"/>
        </w:pBdr>
        <w:shd w:val="clear" w:color="auto" w:fill="FFFFFF"/>
        <w:spacing w:before="100" w:beforeAutospacing="1" w:after="100" w:afterAutospacing="1" w:line="240" w:lineRule="auto"/>
        <w:outlineLvl w:val="1"/>
        <w:rPr>
          <w:rFonts w:ascii="Helvetica" w:eastAsia="Times New Roman" w:hAnsi="Helvetica" w:cs="Helvetica"/>
          <w:b/>
          <w:bCs/>
          <w:color w:val="000000"/>
          <w:spacing w:val="-3"/>
          <w:sz w:val="36"/>
          <w:szCs w:val="36"/>
          <w:lang w:eastAsia="en-GB"/>
        </w:rPr>
      </w:pPr>
      <w:bookmarkStart w:id="0" w:name="_GoBack"/>
      <w:bookmarkEnd w:id="0"/>
      <w:r w:rsidRPr="00DD0B23">
        <w:rPr>
          <w:rFonts w:ascii="Helvetica" w:eastAsia="Times New Roman" w:hAnsi="Helvetica" w:cs="Helvetica"/>
          <w:b/>
          <w:bCs/>
          <w:color w:val="000000"/>
          <w:spacing w:val="-3"/>
          <w:sz w:val="36"/>
          <w:szCs w:val="36"/>
          <w:lang w:eastAsia="en-GB"/>
        </w:rPr>
        <w:t>Conclusions and actions</w:t>
      </w:r>
    </w:p>
    <w:p w14:paraId="2549FECD"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xml:space="preserve">Overall compliance with the COAF OA policy is 90%. We’re disappointed to not see it rise higher – in 2015/16 it was 91%. As in previous years, we will be </w:t>
      </w:r>
      <w:r w:rsidRPr="00DD0B23">
        <w:rPr>
          <w:rFonts w:ascii="Helvetica" w:eastAsia="Times New Roman" w:hAnsi="Helvetica" w:cs="Helvetica"/>
          <w:color w:val="333333"/>
          <w:spacing w:val="4"/>
          <w:sz w:val="24"/>
          <w:szCs w:val="24"/>
          <w:lang w:eastAsia="en-GB"/>
        </w:rPr>
        <w:lastRenderedPageBreak/>
        <w:t>working with publishers and organisations to make sure that articles are made compliant as soon as possible.</w:t>
      </w:r>
    </w:p>
    <w:p w14:paraId="22C0C642"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xml:space="preserve">This year, we saw an increase in non-compliance from the three biggest publishers. We have repeatedly heard the argument that hybrid journals are the best way to make articles open access; </w:t>
      </w:r>
      <w:proofErr w:type="gramStart"/>
      <w:r w:rsidRPr="00DD0B23">
        <w:rPr>
          <w:rFonts w:ascii="Helvetica" w:eastAsia="Times New Roman" w:hAnsi="Helvetica" w:cs="Helvetica"/>
          <w:color w:val="333333"/>
          <w:spacing w:val="4"/>
          <w:sz w:val="24"/>
          <w:szCs w:val="24"/>
          <w:lang w:eastAsia="en-GB"/>
        </w:rPr>
        <w:t>however</w:t>
      </w:r>
      <w:proofErr w:type="gramEnd"/>
      <w:r w:rsidRPr="00DD0B23">
        <w:rPr>
          <w:rFonts w:ascii="Helvetica" w:eastAsia="Times New Roman" w:hAnsi="Helvetica" w:cs="Helvetica"/>
          <w:color w:val="333333"/>
          <w:spacing w:val="4"/>
          <w:sz w:val="24"/>
          <w:szCs w:val="24"/>
          <w:lang w:eastAsia="en-GB"/>
        </w:rPr>
        <w:t xml:space="preserve"> compliance rates continue to challenge this assertion.</w:t>
      </w:r>
    </w:p>
    <w:p w14:paraId="588285E7"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Our cost analysis continues to show an increase in the cost of OA publishing, with the average APC increasing by 6% on last year. The difference in average APCs for hybrid and fully OA journals continues to narrow. We think the increasing popularity of high-priced, fully OA journals contributes to this.</w:t>
      </w:r>
    </w:p>
    <w:p w14:paraId="2257C40A"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We have also looked at the impact of publisher schemes on the costs of APCs and have seen that they do contribute to lower costs for COAF members. This year, we will publish clear guidance on how to report these costs, and we encourage all organisations to send us this information as part of future COAF returns. In future, it will be increasingly important to understand the costs associated with publisher schemes.</w:t>
      </w:r>
    </w:p>
    <w:p w14:paraId="1C08744C"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As things stand, COAF will be terminated at the end of September 2019 because the funders will no longer share a common OA policy. A final decision will be taken in June 2019 and communicated to all organisations in receipt of COAF funding. If COAF is terminated, the individual funders will continue to support OA costs in line with their policies, but these funds will not be centralised through COAF.</w:t>
      </w:r>
    </w:p>
    <w:p w14:paraId="0B625816" w14:textId="77777777" w:rsidR="00DD0B23" w:rsidRPr="00DD0B23" w:rsidRDefault="00DD0B23" w:rsidP="00DD0B23">
      <w:pPr>
        <w:shd w:val="clear" w:color="auto" w:fill="FFFFFF"/>
        <w:spacing w:before="100" w:beforeAutospacing="1" w:after="100" w:afterAutospacing="1" w:line="240" w:lineRule="auto"/>
        <w:outlineLvl w:val="2"/>
        <w:rPr>
          <w:rFonts w:ascii="Helvetica" w:eastAsia="Times New Roman" w:hAnsi="Helvetica" w:cs="Helvetica"/>
          <w:b/>
          <w:bCs/>
          <w:color w:val="000000"/>
          <w:spacing w:val="4"/>
          <w:sz w:val="27"/>
          <w:szCs w:val="27"/>
          <w:lang w:eastAsia="en-GB"/>
        </w:rPr>
      </w:pPr>
      <w:r w:rsidRPr="00DD0B23">
        <w:rPr>
          <w:rFonts w:ascii="Helvetica" w:eastAsia="Times New Roman" w:hAnsi="Helvetica" w:cs="Helvetica"/>
          <w:b/>
          <w:bCs/>
          <w:color w:val="000000"/>
          <w:spacing w:val="4"/>
          <w:sz w:val="27"/>
          <w:szCs w:val="27"/>
          <w:lang w:eastAsia="en-GB"/>
        </w:rPr>
        <w:t>Notes</w:t>
      </w:r>
    </w:p>
    <w:p w14:paraId="56D9FA9D" w14:textId="77777777" w:rsidR="00DD0B23" w:rsidRPr="00DD0B23" w:rsidRDefault="00DD0B23" w:rsidP="00DD0B23">
      <w:pPr>
        <w:shd w:val="clear" w:color="auto" w:fill="FFFFFF"/>
        <w:spacing w:after="0"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The data used for this analysis was provided by organisations in November and December 2018. The analysis was carried out using Wellcome’s </w:t>
      </w:r>
      <w:hyperlink r:id="rId14" w:tgtFrame="_blank" w:history="1">
        <w:r w:rsidRPr="00DD0B23">
          <w:rPr>
            <w:rFonts w:ascii="Helvetica" w:eastAsia="Times New Roman" w:hAnsi="Helvetica" w:cs="Helvetica"/>
            <w:color w:val="003170"/>
            <w:spacing w:val="4"/>
            <w:sz w:val="24"/>
            <w:szCs w:val="24"/>
            <w:u w:val="single"/>
            <w:lang w:eastAsia="en-GB"/>
          </w:rPr>
          <w:t>Cottage Labs compliance checking tool(opens in a new tab)</w:t>
        </w:r>
      </w:hyperlink>
      <w:r w:rsidRPr="00DD0B23">
        <w:rPr>
          <w:rFonts w:ascii="Helvetica" w:eastAsia="Times New Roman" w:hAnsi="Helvetica" w:cs="Helvetica"/>
          <w:color w:val="333333"/>
          <w:spacing w:val="4"/>
          <w:sz w:val="24"/>
          <w:szCs w:val="24"/>
          <w:lang w:eastAsia="en-GB"/>
        </w:rPr>
        <w:t> on 7 March 2018. The analysis was conducted using the raw data provided by organisations. While every effort has been made to provide accurate information, there may be errors within the analysed data. Where errors are identified, we will endeavour to make corrected versions of the data available.</w:t>
      </w:r>
    </w:p>
    <w:p w14:paraId="037042D7" w14:textId="77777777" w:rsidR="00DD0B23" w:rsidRPr="00DD0B23" w:rsidRDefault="00DD0B23" w:rsidP="00DD0B23">
      <w:pPr>
        <w:shd w:val="clear" w:color="auto" w:fill="FFFFFF"/>
        <w:spacing w:before="100" w:beforeAutospacing="1" w:after="100" w:afterAutospacing="1" w:line="240" w:lineRule="auto"/>
        <w:rPr>
          <w:rFonts w:ascii="Helvetica" w:eastAsia="Times New Roman" w:hAnsi="Helvetica" w:cs="Helvetica"/>
          <w:color w:val="333333"/>
          <w:spacing w:val="4"/>
          <w:sz w:val="24"/>
          <w:szCs w:val="24"/>
          <w:lang w:eastAsia="en-GB"/>
        </w:rPr>
      </w:pPr>
      <w:r w:rsidRPr="00DD0B23">
        <w:rPr>
          <w:rFonts w:ascii="Helvetica" w:eastAsia="Times New Roman" w:hAnsi="Helvetica" w:cs="Helvetica"/>
          <w:color w:val="333333"/>
          <w:spacing w:val="4"/>
          <w:sz w:val="24"/>
          <w:szCs w:val="24"/>
          <w:lang w:eastAsia="en-GB"/>
        </w:rPr>
        <w:t xml:space="preserve">The raw data used for this article is freely available on </w:t>
      </w:r>
      <w:proofErr w:type="spellStart"/>
      <w:r w:rsidRPr="00DD0B23">
        <w:rPr>
          <w:rFonts w:ascii="Helvetica" w:eastAsia="Times New Roman" w:hAnsi="Helvetica" w:cs="Helvetica"/>
          <w:color w:val="333333"/>
          <w:spacing w:val="4"/>
          <w:sz w:val="24"/>
          <w:szCs w:val="24"/>
          <w:lang w:eastAsia="en-GB"/>
        </w:rPr>
        <w:t>Figshare</w:t>
      </w:r>
      <w:proofErr w:type="spellEnd"/>
      <w:r>
        <w:rPr>
          <w:rFonts w:ascii="Helvetica" w:eastAsia="Times New Roman" w:hAnsi="Helvetica" w:cs="Helvetica"/>
          <w:color w:val="333333"/>
          <w:spacing w:val="4"/>
          <w:sz w:val="24"/>
          <w:szCs w:val="24"/>
          <w:lang w:eastAsia="en-GB"/>
        </w:rPr>
        <w:t>.</w:t>
      </w:r>
    </w:p>
    <w:p w14:paraId="04C0D181" w14:textId="77777777" w:rsidR="00CD39E0" w:rsidRDefault="00CD39E0"/>
    <w:sectPr w:rsidR="00CD3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561"/>
    <w:multiLevelType w:val="multilevel"/>
    <w:tmpl w:val="5FC8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B37EE"/>
    <w:multiLevelType w:val="multilevel"/>
    <w:tmpl w:val="B42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F34D8"/>
    <w:multiLevelType w:val="multilevel"/>
    <w:tmpl w:val="DD58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17E1C"/>
    <w:multiLevelType w:val="multilevel"/>
    <w:tmpl w:val="7F18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23"/>
    <w:rsid w:val="004D4A38"/>
    <w:rsid w:val="00CD39E0"/>
    <w:rsid w:val="00DD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E93"/>
  <w15:chartTrackingRefBased/>
  <w15:docId w15:val="{3C6C4FDB-EDD3-46B3-808C-93C7E6B6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0B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D0B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0B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2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D0B2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0B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D0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highlighttitle">
    <w:name w:val="list-highlight__title"/>
    <w:basedOn w:val="Normal"/>
    <w:rsid w:val="00DD0B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0B23"/>
    <w:rPr>
      <w:color w:val="0000FF"/>
      <w:u w:val="single"/>
    </w:rPr>
  </w:style>
  <w:style w:type="character" w:styleId="Strong">
    <w:name w:val="Strong"/>
    <w:basedOn w:val="DefaultParagraphFont"/>
    <w:uiPriority w:val="22"/>
    <w:qFormat/>
    <w:rsid w:val="00DD0B23"/>
    <w:rPr>
      <w:b/>
      <w:bCs/>
    </w:rPr>
  </w:style>
  <w:style w:type="character" w:customStyle="1" w:styleId="assistive-text">
    <w:name w:val="assistive-text"/>
    <w:basedOn w:val="DefaultParagraphFont"/>
    <w:rsid w:val="00DD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762978">
      <w:bodyDiv w:val="1"/>
      <w:marLeft w:val="0"/>
      <w:marRight w:val="0"/>
      <w:marTop w:val="0"/>
      <w:marBottom w:val="0"/>
      <w:divBdr>
        <w:top w:val="none" w:sz="0" w:space="0" w:color="auto"/>
        <w:left w:val="none" w:sz="0" w:space="0" w:color="auto"/>
        <w:bottom w:val="none" w:sz="0" w:space="0" w:color="auto"/>
        <w:right w:val="none" w:sz="0" w:space="0" w:color="auto"/>
      </w:divBdr>
      <w:divsChild>
        <w:div w:id="1040857139">
          <w:marLeft w:val="0"/>
          <w:marRight w:val="0"/>
          <w:marTop w:val="0"/>
          <w:marBottom w:val="0"/>
          <w:divBdr>
            <w:top w:val="none" w:sz="0" w:space="0" w:color="auto"/>
            <w:left w:val="none" w:sz="0" w:space="0" w:color="auto"/>
            <w:bottom w:val="none" w:sz="0" w:space="0" w:color="auto"/>
            <w:right w:val="none" w:sz="0" w:space="0" w:color="auto"/>
          </w:divBdr>
          <w:divsChild>
            <w:div w:id="731658069">
              <w:marLeft w:val="0"/>
              <w:marRight w:val="0"/>
              <w:marTop w:val="0"/>
              <w:marBottom w:val="0"/>
              <w:divBdr>
                <w:top w:val="none" w:sz="0" w:space="0" w:color="auto"/>
                <w:left w:val="none" w:sz="0" w:space="0" w:color="auto"/>
                <w:bottom w:val="none" w:sz="0" w:space="0" w:color="auto"/>
                <w:right w:val="none" w:sz="0" w:space="0" w:color="auto"/>
              </w:divBdr>
            </w:div>
          </w:divsChild>
        </w:div>
        <w:div w:id="2114861412">
          <w:marLeft w:val="0"/>
          <w:marRight w:val="0"/>
          <w:marTop w:val="0"/>
          <w:marBottom w:val="0"/>
          <w:divBdr>
            <w:top w:val="none" w:sz="0" w:space="0" w:color="auto"/>
            <w:left w:val="none" w:sz="0" w:space="0" w:color="auto"/>
            <w:bottom w:val="none" w:sz="0" w:space="0" w:color="auto"/>
            <w:right w:val="none" w:sz="0" w:space="0" w:color="auto"/>
          </w:divBdr>
          <w:divsChild>
            <w:div w:id="824592622">
              <w:marLeft w:val="0"/>
              <w:marRight w:val="0"/>
              <w:marTop w:val="0"/>
              <w:marBottom w:val="0"/>
              <w:divBdr>
                <w:top w:val="none" w:sz="0" w:space="0" w:color="auto"/>
                <w:left w:val="none" w:sz="0" w:space="0" w:color="auto"/>
                <w:bottom w:val="none" w:sz="0" w:space="0" w:color="auto"/>
                <w:right w:val="none" w:sz="0" w:space="0" w:color="auto"/>
              </w:divBdr>
            </w:div>
          </w:divsChild>
        </w:div>
        <w:div w:id="1067649767">
          <w:marLeft w:val="0"/>
          <w:marRight w:val="0"/>
          <w:marTop w:val="0"/>
          <w:marBottom w:val="0"/>
          <w:divBdr>
            <w:top w:val="none" w:sz="0" w:space="0" w:color="auto"/>
            <w:left w:val="none" w:sz="0" w:space="0" w:color="auto"/>
            <w:bottom w:val="none" w:sz="0" w:space="0" w:color="auto"/>
            <w:right w:val="none" w:sz="0" w:space="0" w:color="auto"/>
          </w:divBdr>
          <w:divsChild>
            <w:div w:id="1933321680">
              <w:marLeft w:val="0"/>
              <w:marRight w:val="0"/>
              <w:marTop w:val="0"/>
              <w:marBottom w:val="0"/>
              <w:divBdr>
                <w:top w:val="none" w:sz="0" w:space="0" w:color="auto"/>
                <w:left w:val="none" w:sz="0" w:space="0" w:color="auto"/>
                <w:bottom w:val="none" w:sz="0" w:space="0" w:color="auto"/>
                <w:right w:val="none" w:sz="0" w:space="0" w:color="auto"/>
              </w:divBdr>
            </w:div>
          </w:divsChild>
        </w:div>
        <w:div w:id="1849059177">
          <w:marLeft w:val="0"/>
          <w:marRight w:val="0"/>
          <w:marTop w:val="0"/>
          <w:marBottom w:val="0"/>
          <w:divBdr>
            <w:top w:val="none" w:sz="0" w:space="0" w:color="auto"/>
            <w:left w:val="none" w:sz="0" w:space="0" w:color="auto"/>
            <w:bottom w:val="none" w:sz="0" w:space="0" w:color="auto"/>
            <w:right w:val="none" w:sz="0" w:space="0" w:color="auto"/>
          </w:divBdr>
          <w:divsChild>
            <w:div w:id="493303548">
              <w:marLeft w:val="0"/>
              <w:marRight w:val="0"/>
              <w:marTop w:val="0"/>
              <w:marBottom w:val="0"/>
              <w:divBdr>
                <w:top w:val="none" w:sz="0" w:space="0" w:color="auto"/>
                <w:left w:val="none" w:sz="0" w:space="0" w:color="auto"/>
                <w:bottom w:val="none" w:sz="0" w:space="0" w:color="auto"/>
                <w:right w:val="none" w:sz="0" w:space="0" w:color="auto"/>
              </w:divBdr>
            </w:div>
          </w:divsChild>
        </w:div>
        <w:div w:id="1980567686">
          <w:marLeft w:val="0"/>
          <w:marRight w:val="0"/>
          <w:marTop w:val="0"/>
          <w:marBottom w:val="0"/>
          <w:divBdr>
            <w:top w:val="none" w:sz="0" w:space="0" w:color="auto"/>
            <w:left w:val="none" w:sz="0" w:space="0" w:color="auto"/>
            <w:bottom w:val="none" w:sz="0" w:space="0" w:color="auto"/>
            <w:right w:val="none" w:sz="0" w:space="0" w:color="auto"/>
          </w:divBdr>
          <w:divsChild>
            <w:div w:id="2107457216">
              <w:marLeft w:val="0"/>
              <w:marRight w:val="0"/>
              <w:marTop w:val="0"/>
              <w:marBottom w:val="0"/>
              <w:divBdr>
                <w:top w:val="none" w:sz="0" w:space="0" w:color="auto"/>
                <w:left w:val="none" w:sz="0" w:space="0" w:color="auto"/>
                <w:bottom w:val="none" w:sz="0" w:space="0" w:color="auto"/>
                <w:right w:val="none" w:sz="0" w:space="0" w:color="auto"/>
              </w:divBdr>
            </w:div>
          </w:divsChild>
        </w:div>
        <w:div w:id="801118998">
          <w:marLeft w:val="0"/>
          <w:marRight w:val="0"/>
          <w:marTop w:val="0"/>
          <w:marBottom w:val="0"/>
          <w:divBdr>
            <w:top w:val="none" w:sz="0" w:space="0" w:color="auto"/>
            <w:left w:val="none" w:sz="0" w:space="0" w:color="auto"/>
            <w:bottom w:val="none" w:sz="0" w:space="0" w:color="auto"/>
            <w:right w:val="none" w:sz="0" w:space="0" w:color="auto"/>
          </w:divBdr>
          <w:divsChild>
            <w:div w:id="1687054508">
              <w:marLeft w:val="0"/>
              <w:marRight w:val="0"/>
              <w:marTop w:val="0"/>
              <w:marBottom w:val="0"/>
              <w:divBdr>
                <w:top w:val="none" w:sz="0" w:space="0" w:color="auto"/>
                <w:left w:val="none" w:sz="0" w:space="0" w:color="auto"/>
                <w:bottom w:val="none" w:sz="0" w:space="0" w:color="auto"/>
                <w:right w:val="none" w:sz="0" w:space="0" w:color="auto"/>
              </w:divBdr>
            </w:div>
          </w:divsChild>
        </w:div>
        <w:div w:id="79641933">
          <w:marLeft w:val="0"/>
          <w:marRight w:val="0"/>
          <w:marTop w:val="0"/>
          <w:marBottom w:val="0"/>
          <w:divBdr>
            <w:top w:val="none" w:sz="0" w:space="0" w:color="auto"/>
            <w:left w:val="none" w:sz="0" w:space="0" w:color="auto"/>
            <w:bottom w:val="none" w:sz="0" w:space="0" w:color="auto"/>
            <w:right w:val="none" w:sz="0" w:space="0" w:color="auto"/>
          </w:divBdr>
          <w:divsChild>
            <w:div w:id="6639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funding/wellcome-and-coaf-open-access-spend-201718" TargetMode="External"/><Relationship Id="rId13" Type="http://schemas.openxmlformats.org/officeDocument/2006/relationships/hyperlink" Target="https://www.jisc-collections.ac.uk/Transformative-OA-Reqs/" TargetMode="External"/><Relationship Id="rId3" Type="http://schemas.openxmlformats.org/officeDocument/2006/relationships/settings" Target="settings.xml"/><Relationship Id="rId7" Type="http://schemas.openxmlformats.org/officeDocument/2006/relationships/hyperlink" Target="https://wellcome.ac.uk/funding/wellcome-and-coaf-open-access-spend-201718" TargetMode="External"/><Relationship Id="rId12" Type="http://schemas.openxmlformats.org/officeDocument/2006/relationships/hyperlink" Target="https://wellcome.ac.uk/news/wellcome-updating-its-open-access-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llcome.ac.uk/funding/wellcome-and-coaf-open-access-spend-201718" TargetMode="External"/><Relationship Id="rId11" Type="http://schemas.openxmlformats.org/officeDocument/2006/relationships/hyperlink" Target="https://wellcome.ac.uk/news/wellcome-updating-its-open-access-policy" TargetMode="External"/><Relationship Id="rId5" Type="http://schemas.openxmlformats.org/officeDocument/2006/relationships/hyperlink" Target="https://wellcome.ac.uk/funding/wellcome-and-coaf-open-access-spend-201718" TargetMode="External"/><Relationship Id="rId15" Type="http://schemas.openxmlformats.org/officeDocument/2006/relationships/fontTable" Target="fontTable.xml"/><Relationship Id="rId10" Type="http://schemas.openxmlformats.org/officeDocument/2006/relationships/hyperlink" Target="https://compliance.cottagelabs.com/" TargetMode="External"/><Relationship Id="rId4" Type="http://schemas.openxmlformats.org/officeDocument/2006/relationships/webSettings" Target="webSettings.xml"/><Relationship Id="rId9" Type="http://schemas.openxmlformats.org/officeDocument/2006/relationships/hyperlink" Target="https://wellcome.ac.uk/funding/wellcome-and-coaf-open-access-spend-201617" TargetMode="External"/><Relationship Id="rId14" Type="http://schemas.openxmlformats.org/officeDocument/2006/relationships/hyperlink" Target="https://compliance.cottage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Baptista</dc:creator>
  <cp:keywords/>
  <dc:description/>
  <cp:lastModifiedBy>Diego Baptista</cp:lastModifiedBy>
  <cp:revision>1</cp:revision>
  <dcterms:created xsi:type="dcterms:W3CDTF">2019-04-18T09:54:00Z</dcterms:created>
  <dcterms:modified xsi:type="dcterms:W3CDTF">2019-04-18T09:56:00Z</dcterms:modified>
</cp:coreProperties>
</file>