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6197B" w14:textId="136BDDF5" w:rsidR="002F515F" w:rsidRPr="002F515F" w:rsidRDefault="007F1A4B" w:rsidP="002F515F">
      <w:pPr>
        <w:pStyle w:val="Heading1"/>
        <w:rPr>
          <w:rFonts w:ascii="Arial" w:hAnsi="Arial" w:cs="Arial"/>
          <w:sz w:val="22"/>
          <w:szCs w:val="22"/>
        </w:rPr>
      </w:pPr>
      <w:r>
        <w:rPr>
          <w:rFonts w:ascii="Arial" w:hAnsi="Arial" w:cs="Arial"/>
          <w:sz w:val="22"/>
          <w:szCs w:val="22"/>
        </w:rPr>
        <w:t>Model Transformative Agreement Toolkit</w:t>
      </w:r>
    </w:p>
    <w:p w14:paraId="3CEC5C8D" w14:textId="7F6796D8" w:rsidR="002F515F" w:rsidRPr="00687745" w:rsidRDefault="002F515F" w:rsidP="002F515F">
      <w:pPr>
        <w:numPr>
          <w:ilvl w:val="0"/>
          <w:numId w:val="10"/>
        </w:numPr>
        <w:spacing w:before="100" w:beforeAutospacing="1" w:after="100" w:afterAutospacing="1" w:line="240" w:lineRule="auto"/>
        <w:rPr>
          <w:rStyle w:val="Strong"/>
          <w:rFonts w:ascii="Arial" w:hAnsi="Arial" w:cs="Arial"/>
          <w:b w:val="0"/>
          <w:bCs w:val="0"/>
        </w:rPr>
      </w:pPr>
      <w:r w:rsidRPr="002F515F">
        <w:rPr>
          <w:rStyle w:val="Strong"/>
          <w:rFonts w:ascii="Arial" w:hAnsi="Arial" w:cs="Arial"/>
        </w:rPr>
        <w:t>Background</w:t>
      </w:r>
    </w:p>
    <w:p w14:paraId="43F8AFA3" w14:textId="7CB2D020" w:rsidR="00E265B6" w:rsidRDefault="00E265B6" w:rsidP="00E265B6">
      <w:pPr>
        <w:pStyle w:val="ListParagraph"/>
        <w:ind w:left="360"/>
        <w:rPr>
          <w:rFonts w:ascii="Arial" w:eastAsia="Times New Roman" w:hAnsi="Arial" w:cs="Arial"/>
          <w:lang w:eastAsia="en-GB"/>
        </w:rPr>
      </w:pPr>
      <w:r w:rsidRPr="00C01E5D">
        <w:rPr>
          <w:rFonts w:ascii="Arial" w:eastAsia="Times New Roman" w:hAnsi="Arial" w:cs="Arial"/>
          <w:lang w:eastAsia="en-GB"/>
        </w:rPr>
        <w:t>Transformative agreements</w:t>
      </w:r>
      <w:r w:rsidR="00687745" w:rsidRPr="00C01E5D">
        <w:rPr>
          <w:rFonts w:ascii="Arial" w:eastAsia="Times New Roman" w:hAnsi="Arial" w:cs="Arial"/>
          <w:lang w:eastAsia="en-GB"/>
        </w:rPr>
        <w:t xml:space="preserve"> repurpose existing institutional spend with publishers to open content. They are promising transition models because libraries and library consortia provide the lion’s share of funding in the current publishing landscape. If this revenue stream is transformed to support OA, then journals can also transform to be fully OA. Institutional and consortial agreements are easier to administer than hundreds or thousands of author payments and provide an attractive predictable flow of revenue. </w:t>
      </w:r>
      <w:r w:rsidR="00C01E5D" w:rsidRPr="00C01E5D">
        <w:rPr>
          <w:rFonts w:ascii="Arial" w:eastAsia="Times New Roman" w:hAnsi="Arial" w:cs="Arial"/>
          <w:lang w:eastAsia="en-GB"/>
        </w:rPr>
        <w:br/>
      </w:r>
    </w:p>
    <w:p w14:paraId="5464B63B" w14:textId="6635BFFE" w:rsidR="00B40746" w:rsidRPr="002B2518" w:rsidRDefault="00F82D8C" w:rsidP="002B2518">
      <w:pPr>
        <w:pStyle w:val="ListParagraph"/>
        <w:ind w:left="360"/>
        <w:rPr>
          <w:rFonts w:ascii="Arial" w:hAnsi="Arial" w:cs="Arial"/>
        </w:rPr>
      </w:pPr>
      <w:r>
        <w:rPr>
          <w:rFonts w:ascii="Arial" w:eastAsia="Times New Roman" w:hAnsi="Arial" w:cs="Arial"/>
          <w:lang w:eastAsia="en-GB"/>
        </w:rPr>
        <w:t>P</w:t>
      </w:r>
      <w:r w:rsidR="00C01E5D" w:rsidRPr="00C01E5D">
        <w:rPr>
          <w:rFonts w:ascii="Arial" w:eastAsia="Times New Roman" w:hAnsi="Arial" w:cs="Arial"/>
          <w:lang w:eastAsia="en-GB"/>
        </w:rPr>
        <w:t xml:space="preserve">ublishers, consortia and institutions can use the resources in this tool kit to collect data to inform </w:t>
      </w:r>
      <w:r w:rsidR="002B2518">
        <w:rPr>
          <w:rFonts w:ascii="Arial" w:eastAsia="Times New Roman" w:hAnsi="Arial" w:cs="Arial"/>
          <w:lang w:eastAsia="en-GB"/>
        </w:rPr>
        <w:t>commercial offers</w:t>
      </w:r>
      <w:r>
        <w:rPr>
          <w:rFonts w:ascii="Arial" w:eastAsia="Times New Roman" w:hAnsi="Arial" w:cs="Arial"/>
          <w:lang w:eastAsia="en-GB"/>
        </w:rPr>
        <w:t>;</w:t>
      </w:r>
      <w:r w:rsidR="00C01E5D" w:rsidRPr="00C01E5D">
        <w:rPr>
          <w:rFonts w:ascii="Arial" w:eastAsia="Times New Roman" w:hAnsi="Arial" w:cs="Arial"/>
          <w:lang w:eastAsia="en-GB"/>
        </w:rPr>
        <w:t xml:space="preserve"> to draft their own transformative agreement offers, licences and contracts</w:t>
      </w:r>
      <w:r>
        <w:rPr>
          <w:rFonts w:ascii="Arial" w:eastAsia="Times New Roman" w:hAnsi="Arial" w:cs="Arial"/>
          <w:lang w:eastAsia="en-GB"/>
        </w:rPr>
        <w:t>;</w:t>
      </w:r>
      <w:r w:rsidR="00C01E5D" w:rsidRPr="00C01E5D">
        <w:rPr>
          <w:rFonts w:ascii="Arial" w:eastAsia="Times New Roman" w:hAnsi="Arial" w:cs="Arial"/>
          <w:lang w:eastAsia="en-GB"/>
        </w:rPr>
        <w:t xml:space="preserve"> and for reporting.</w:t>
      </w:r>
      <w:r w:rsidR="002B2518">
        <w:rPr>
          <w:rFonts w:ascii="Arial" w:eastAsia="Times New Roman" w:hAnsi="Arial" w:cs="Arial"/>
          <w:lang w:eastAsia="en-GB"/>
        </w:rPr>
        <w:t xml:space="preserve"> </w:t>
      </w:r>
      <w:r w:rsidR="00E265B6" w:rsidRPr="002B2518">
        <w:rPr>
          <w:rFonts w:ascii="Arial" w:hAnsi="Arial" w:cs="Arial"/>
          <w:lang w:eastAsia="en-GB"/>
        </w:rPr>
        <w:t xml:space="preserve">The </w:t>
      </w:r>
      <w:r w:rsidR="00B40746" w:rsidRPr="002B2518">
        <w:rPr>
          <w:rFonts w:ascii="Arial" w:hAnsi="Arial" w:cs="Arial"/>
          <w:lang w:eastAsia="en-GB"/>
        </w:rPr>
        <w:t>toolkit contains</w:t>
      </w:r>
      <w:r w:rsidR="00C01E5D" w:rsidRPr="002B2518">
        <w:rPr>
          <w:rFonts w:ascii="Arial" w:hAnsi="Arial" w:cs="Arial"/>
          <w:color w:val="222222"/>
          <w:shd w:val="clear" w:color="auto" w:fill="FFFFFF"/>
        </w:rPr>
        <w:t xml:space="preserve"> templates that </w:t>
      </w:r>
      <w:r w:rsidR="00C01E5D" w:rsidRPr="002B2518">
        <w:rPr>
          <w:rFonts w:ascii="Arial" w:hAnsi="Arial" w:cs="Arial"/>
          <w:lang w:eastAsia="en-GB"/>
        </w:rPr>
        <w:t>stakeholders</w:t>
      </w:r>
      <w:r w:rsidR="0037419D" w:rsidRPr="002B2518">
        <w:rPr>
          <w:rFonts w:ascii="Arial" w:hAnsi="Arial" w:cs="Arial"/>
          <w:lang w:eastAsia="en-GB"/>
        </w:rPr>
        <w:t xml:space="preserve"> can </w:t>
      </w:r>
      <w:r w:rsidR="00E265B6" w:rsidRPr="002B2518">
        <w:rPr>
          <w:rFonts w:ascii="Arial" w:hAnsi="Arial" w:cs="Arial"/>
          <w:lang w:eastAsia="en-GB"/>
        </w:rPr>
        <w:t>amend and adapt</w:t>
      </w:r>
      <w:r w:rsidR="00C01E5D" w:rsidRPr="002B2518">
        <w:rPr>
          <w:rFonts w:ascii="Arial" w:hAnsi="Arial" w:cs="Arial"/>
          <w:lang w:eastAsia="en-GB"/>
        </w:rPr>
        <w:t xml:space="preserve"> to reflect aspects of their particular agreements and</w:t>
      </w:r>
      <w:r w:rsidR="00E265B6" w:rsidRPr="002B2518">
        <w:rPr>
          <w:rFonts w:ascii="Arial" w:hAnsi="Arial" w:cs="Arial"/>
          <w:lang w:eastAsia="en-GB"/>
        </w:rPr>
        <w:t xml:space="preserve"> to suit local conditions. </w:t>
      </w:r>
      <w:r w:rsidR="00612058" w:rsidRPr="002B2518">
        <w:rPr>
          <w:rFonts w:ascii="Arial" w:hAnsi="Arial" w:cs="Arial"/>
          <w:lang w:eastAsia="en-GB"/>
        </w:rPr>
        <w:t xml:space="preserve">For example, </w:t>
      </w:r>
      <w:r w:rsidR="00B40746" w:rsidRPr="002B2518">
        <w:rPr>
          <w:rFonts w:ascii="Arial" w:hAnsi="Arial" w:cs="Arial"/>
          <w:lang w:eastAsia="en-GB"/>
        </w:rPr>
        <w:t xml:space="preserve">we have crafted the agreement template to reflect an all-you-can-eat deal with no cap on articles published OA. Edit that text if you instead agree </w:t>
      </w:r>
      <w:r w:rsidR="00612058" w:rsidRPr="002B2518">
        <w:rPr>
          <w:rFonts w:ascii="Arial" w:hAnsi="Arial" w:cs="Arial"/>
        </w:rPr>
        <w:t xml:space="preserve">a stepped approach </w:t>
      </w:r>
      <w:r w:rsidR="00B40746" w:rsidRPr="002B2518">
        <w:rPr>
          <w:rFonts w:ascii="Arial" w:hAnsi="Arial" w:cs="Arial"/>
        </w:rPr>
        <w:t xml:space="preserve">and there is </w:t>
      </w:r>
      <w:r w:rsidR="00612058" w:rsidRPr="002B2518">
        <w:rPr>
          <w:rFonts w:ascii="Arial" w:hAnsi="Arial" w:cs="Arial"/>
        </w:rPr>
        <w:t>an initial cap on the number of O</w:t>
      </w:r>
      <w:r w:rsidR="00B40746" w:rsidRPr="002B2518">
        <w:rPr>
          <w:rFonts w:ascii="Arial" w:hAnsi="Arial" w:cs="Arial"/>
        </w:rPr>
        <w:t>A articles published.</w:t>
      </w:r>
    </w:p>
    <w:p w14:paraId="159AB4F8" w14:textId="77777777" w:rsidR="00B40746" w:rsidRDefault="00B40746" w:rsidP="00612058">
      <w:pPr>
        <w:pStyle w:val="ListParagraph"/>
        <w:ind w:left="360"/>
        <w:rPr>
          <w:rFonts w:ascii="Arial" w:hAnsi="Arial" w:cs="Arial"/>
        </w:rPr>
      </w:pPr>
    </w:p>
    <w:p w14:paraId="3DB54CB2" w14:textId="78B59D89" w:rsidR="00612058" w:rsidRPr="00612058" w:rsidRDefault="00B40746" w:rsidP="00612058">
      <w:pPr>
        <w:pStyle w:val="ListParagraph"/>
        <w:ind w:left="360"/>
        <w:rPr>
          <w:rFonts w:ascii="Arial" w:eastAsia="Times New Roman" w:hAnsi="Arial" w:cs="Arial"/>
          <w:lang w:eastAsia="en-GB"/>
        </w:rPr>
      </w:pPr>
      <w:r>
        <w:rPr>
          <w:rFonts w:ascii="Arial" w:hAnsi="Arial" w:cs="Arial"/>
        </w:rPr>
        <w:t>T</w:t>
      </w:r>
      <w:bookmarkStart w:id="0" w:name="_Hlk17389300"/>
      <w:r>
        <w:rPr>
          <w:rFonts w:ascii="Arial" w:hAnsi="Arial" w:cs="Arial"/>
        </w:rPr>
        <w:t>he toolkit is designed to give you an easy starting point and is not meant to constrain.</w:t>
      </w:r>
      <w:bookmarkEnd w:id="0"/>
    </w:p>
    <w:p w14:paraId="6BE2487E" w14:textId="693552C5" w:rsidR="00E265B6" w:rsidRPr="00C01E5D" w:rsidRDefault="00E265B6" w:rsidP="00E265B6">
      <w:pPr>
        <w:pStyle w:val="ListParagraph"/>
        <w:ind w:left="360"/>
        <w:rPr>
          <w:rFonts w:ascii="Arial" w:eastAsia="Times New Roman" w:hAnsi="Arial" w:cs="Arial"/>
          <w:lang w:eastAsia="en-GB"/>
        </w:rPr>
      </w:pPr>
    </w:p>
    <w:p w14:paraId="1906CC12" w14:textId="371367CA" w:rsidR="007F1A4B" w:rsidRPr="00C91A3F" w:rsidRDefault="002B2518" w:rsidP="002F515F">
      <w:pPr>
        <w:numPr>
          <w:ilvl w:val="0"/>
          <w:numId w:val="10"/>
        </w:numPr>
        <w:spacing w:before="100" w:beforeAutospacing="1" w:after="100" w:afterAutospacing="1" w:line="240" w:lineRule="auto"/>
        <w:rPr>
          <w:rStyle w:val="Strong"/>
          <w:rFonts w:ascii="Arial" w:hAnsi="Arial" w:cs="Arial"/>
          <w:b w:val="0"/>
          <w:bCs w:val="0"/>
        </w:rPr>
      </w:pPr>
      <w:r>
        <w:rPr>
          <w:rStyle w:val="Strong"/>
          <w:rFonts w:ascii="Arial" w:hAnsi="Arial" w:cs="Arial"/>
        </w:rPr>
        <w:t>Tools in the Toolkit</w:t>
      </w:r>
    </w:p>
    <w:p w14:paraId="528FD1B2" w14:textId="7E81752A" w:rsidR="00C91A3F" w:rsidRPr="00C91A3F" w:rsidRDefault="00C91A3F" w:rsidP="0067295B">
      <w:pPr>
        <w:pStyle w:val="ListParagraph"/>
        <w:numPr>
          <w:ilvl w:val="0"/>
          <w:numId w:val="11"/>
        </w:numPr>
        <w:spacing w:after="0" w:line="240" w:lineRule="auto"/>
        <w:ind w:left="1077" w:hanging="357"/>
        <w:rPr>
          <w:rFonts w:ascii="Arial" w:hAnsi="Arial" w:cs="Arial"/>
        </w:rPr>
      </w:pPr>
      <w:r w:rsidRPr="00612058">
        <w:rPr>
          <w:rFonts w:ascii="Arial" w:hAnsi="Arial" w:cs="Arial"/>
        </w:rPr>
        <w:t>Prepar</w:t>
      </w:r>
      <w:r w:rsidR="002B2518">
        <w:rPr>
          <w:rFonts w:ascii="Arial" w:hAnsi="Arial" w:cs="Arial"/>
        </w:rPr>
        <w:t>e</w:t>
      </w:r>
      <w:r w:rsidRPr="00612058">
        <w:rPr>
          <w:rFonts w:ascii="Arial" w:hAnsi="Arial" w:cs="Arial"/>
        </w:rPr>
        <w:t xml:space="preserve"> </w:t>
      </w:r>
      <w:r w:rsidR="00F177A2">
        <w:rPr>
          <w:rFonts w:ascii="Arial" w:hAnsi="Arial" w:cs="Arial"/>
        </w:rPr>
        <w:t>to negotiate</w:t>
      </w:r>
      <w:r w:rsidRPr="00C91A3F">
        <w:rPr>
          <w:rFonts w:ascii="Arial" w:hAnsi="Arial" w:cs="Arial"/>
        </w:rPr>
        <w:br/>
        <w:t xml:space="preserve">This provides </w:t>
      </w:r>
      <w:r w:rsidR="00B40746">
        <w:rPr>
          <w:rFonts w:ascii="Arial" w:hAnsi="Arial" w:cs="Arial"/>
        </w:rPr>
        <w:t xml:space="preserve">a </w:t>
      </w:r>
      <w:r w:rsidRPr="00C91A3F">
        <w:rPr>
          <w:rFonts w:ascii="Arial" w:hAnsi="Arial" w:cs="Arial"/>
        </w:rPr>
        <w:t xml:space="preserve">few tips for society publishers and consortia </w:t>
      </w:r>
      <w:r w:rsidR="00F177A2">
        <w:rPr>
          <w:rFonts w:ascii="Arial" w:hAnsi="Arial" w:cs="Arial"/>
        </w:rPr>
        <w:t xml:space="preserve">to get </w:t>
      </w:r>
      <w:r w:rsidR="002B2518">
        <w:rPr>
          <w:rFonts w:ascii="Arial" w:hAnsi="Arial" w:cs="Arial"/>
        </w:rPr>
        <w:t xml:space="preserve">you </w:t>
      </w:r>
      <w:r w:rsidR="00F177A2">
        <w:rPr>
          <w:rFonts w:ascii="Arial" w:hAnsi="Arial" w:cs="Arial"/>
        </w:rPr>
        <w:t>started.</w:t>
      </w:r>
      <w:r w:rsidR="002B2518">
        <w:rPr>
          <w:rFonts w:ascii="Arial" w:hAnsi="Arial" w:cs="Arial"/>
        </w:rPr>
        <w:t xml:space="preserve"> </w:t>
      </w:r>
    </w:p>
    <w:p w14:paraId="4196D181" w14:textId="77777777" w:rsidR="00C91A3F" w:rsidRPr="00C91A3F" w:rsidRDefault="00C91A3F" w:rsidP="00C91A3F">
      <w:pPr>
        <w:pStyle w:val="ListParagraph"/>
        <w:spacing w:after="0" w:line="240" w:lineRule="auto"/>
        <w:ind w:left="1800"/>
        <w:rPr>
          <w:rFonts w:ascii="Arial" w:hAnsi="Arial" w:cs="Arial"/>
        </w:rPr>
      </w:pPr>
    </w:p>
    <w:p w14:paraId="2F0A3B28" w14:textId="4778C2B8" w:rsidR="00947C46" w:rsidRPr="00612058" w:rsidRDefault="00947C46" w:rsidP="00947C46">
      <w:pPr>
        <w:numPr>
          <w:ilvl w:val="0"/>
          <w:numId w:val="11"/>
        </w:numPr>
        <w:spacing w:after="0" w:line="240" w:lineRule="auto"/>
        <w:rPr>
          <w:rFonts w:ascii="Arial" w:hAnsi="Arial" w:cs="Arial"/>
        </w:rPr>
      </w:pPr>
      <w:r w:rsidRPr="00612058">
        <w:rPr>
          <w:rFonts w:ascii="Arial" w:hAnsi="Arial" w:cs="Arial"/>
        </w:rPr>
        <w:t>Data template</w:t>
      </w:r>
    </w:p>
    <w:p w14:paraId="5A4EAE08" w14:textId="54E6EF4B" w:rsidR="00FE0DC7" w:rsidRDefault="00947C46" w:rsidP="0067295B">
      <w:pPr>
        <w:spacing w:after="0" w:line="240" w:lineRule="auto"/>
        <w:ind w:left="1077"/>
        <w:rPr>
          <w:rFonts w:ascii="Arial" w:hAnsi="Arial" w:cs="Arial"/>
        </w:rPr>
      </w:pPr>
      <w:r w:rsidRPr="00947C46">
        <w:rPr>
          <w:rFonts w:ascii="Arial" w:hAnsi="Arial" w:cs="Arial"/>
        </w:rPr>
        <w:t>Th</w:t>
      </w:r>
      <w:r w:rsidR="002B2518">
        <w:rPr>
          <w:rFonts w:ascii="Arial" w:hAnsi="Arial" w:cs="Arial"/>
        </w:rPr>
        <w:t xml:space="preserve">ese data will be </w:t>
      </w:r>
      <w:r w:rsidRPr="00947C46">
        <w:rPr>
          <w:rFonts w:ascii="Arial" w:hAnsi="Arial" w:cs="Arial"/>
        </w:rPr>
        <w:t xml:space="preserve">needed to </w:t>
      </w:r>
      <w:r w:rsidR="002B2518">
        <w:rPr>
          <w:rFonts w:ascii="Arial" w:hAnsi="Arial" w:cs="Arial"/>
        </w:rPr>
        <w:t>in</w:t>
      </w:r>
      <w:r w:rsidRPr="00947C46">
        <w:rPr>
          <w:rFonts w:ascii="Arial" w:hAnsi="Arial" w:cs="Arial"/>
        </w:rPr>
        <w:t xml:space="preserve">form </w:t>
      </w:r>
      <w:r w:rsidR="002B2518">
        <w:rPr>
          <w:rFonts w:ascii="Arial" w:hAnsi="Arial" w:cs="Arial"/>
        </w:rPr>
        <w:t>the commercial</w:t>
      </w:r>
      <w:r w:rsidR="00612058">
        <w:rPr>
          <w:rFonts w:ascii="Arial" w:hAnsi="Arial" w:cs="Arial"/>
        </w:rPr>
        <w:t xml:space="preserve"> </w:t>
      </w:r>
      <w:r w:rsidRPr="00947C46">
        <w:rPr>
          <w:rFonts w:ascii="Arial" w:hAnsi="Arial" w:cs="Arial"/>
        </w:rPr>
        <w:t>offer</w:t>
      </w:r>
      <w:r w:rsidR="002B2518">
        <w:rPr>
          <w:rFonts w:ascii="Arial" w:hAnsi="Arial" w:cs="Arial"/>
        </w:rPr>
        <w:t xml:space="preserve"> so t</w:t>
      </w:r>
      <w:r w:rsidR="002B2518" w:rsidRPr="0012571A">
        <w:rPr>
          <w:rFonts w:ascii="Arial" w:hAnsi="Arial" w:cs="Arial"/>
        </w:rPr>
        <w:t>he publisher should assemble the data requested in this template. It’s important to understand both the read and publish elements of your current relationship, so include data for every institution within the consortium whether or not they currently subscribe.</w:t>
      </w:r>
      <w:r w:rsidR="002B2518" w:rsidRPr="00161A67">
        <w:br/>
      </w:r>
    </w:p>
    <w:p w14:paraId="2FC1CB92" w14:textId="21547A1D" w:rsidR="009779D0" w:rsidRPr="00612058" w:rsidRDefault="009779D0" w:rsidP="0067295B">
      <w:pPr>
        <w:pStyle w:val="Heading1"/>
        <w:numPr>
          <w:ilvl w:val="0"/>
          <w:numId w:val="11"/>
        </w:numPr>
        <w:spacing w:before="0" w:line="276" w:lineRule="auto"/>
        <w:rPr>
          <w:rFonts w:ascii="Arial" w:hAnsi="Arial" w:cs="Arial"/>
          <w:color w:val="auto"/>
          <w:sz w:val="22"/>
          <w:szCs w:val="22"/>
        </w:rPr>
      </w:pPr>
      <w:r w:rsidRPr="00612058">
        <w:rPr>
          <w:rFonts w:ascii="Arial" w:hAnsi="Arial" w:cs="Arial"/>
          <w:color w:val="auto"/>
          <w:sz w:val="22"/>
          <w:szCs w:val="22"/>
        </w:rPr>
        <w:t>Overview of the Transformative Agreement</w:t>
      </w:r>
    </w:p>
    <w:p w14:paraId="591C26C5" w14:textId="7ABB8EE3" w:rsidR="0067295B" w:rsidRDefault="007F1A4B" w:rsidP="0067295B">
      <w:pPr>
        <w:spacing w:after="0" w:line="240" w:lineRule="auto"/>
        <w:ind w:left="1080"/>
        <w:rPr>
          <w:rFonts w:ascii="Arial" w:hAnsi="Arial" w:cs="Arial"/>
        </w:rPr>
      </w:pPr>
      <w:r w:rsidRPr="007F1A4B">
        <w:rPr>
          <w:rFonts w:ascii="Arial" w:hAnsi="Arial" w:cs="Arial"/>
        </w:rPr>
        <w:t>This is a summary of what the consortium and publisher wish to agree</w:t>
      </w:r>
      <w:r w:rsidR="0067295B">
        <w:rPr>
          <w:rFonts w:ascii="Arial" w:hAnsi="Arial" w:cs="Arial"/>
        </w:rPr>
        <w:t>; it’s not legally binding.</w:t>
      </w:r>
      <w:r w:rsidR="00E83FED">
        <w:rPr>
          <w:rFonts w:ascii="Arial" w:hAnsi="Arial" w:cs="Arial"/>
        </w:rPr>
        <w:t xml:space="preserve"> </w:t>
      </w:r>
      <w:bookmarkStart w:id="1" w:name="_Hlk19004533"/>
      <w:bookmarkStart w:id="2" w:name="_GoBack"/>
      <w:r w:rsidR="00E83FED">
        <w:rPr>
          <w:rFonts w:ascii="Arial" w:hAnsi="Arial" w:cs="Arial"/>
        </w:rPr>
        <w:t>This document also sets out a description of the pricing model for the agreement.</w:t>
      </w:r>
      <w:bookmarkEnd w:id="1"/>
      <w:bookmarkEnd w:id="2"/>
    </w:p>
    <w:p w14:paraId="043FA35B" w14:textId="77777777" w:rsidR="0067295B" w:rsidRDefault="0067295B" w:rsidP="0067295B">
      <w:pPr>
        <w:spacing w:after="0" w:line="240" w:lineRule="auto"/>
        <w:ind w:left="1080"/>
        <w:rPr>
          <w:rFonts w:ascii="Arial" w:hAnsi="Arial" w:cs="Arial"/>
        </w:rPr>
      </w:pPr>
    </w:p>
    <w:p w14:paraId="7C1B2894" w14:textId="2841A3B4" w:rsidR="0067295B" w:rsidRDefault="0067295B" w:rsidP="0067295B">
      <w:pPr>
        <w:spacing w:after="0" w:line="240" w:lineRule="auto"/>
        <w:ind w:left="1080"/>
        <w:rPr>
          <w:rFonts w:ascii="Arial" w:hAnsi="Arial" w:cs="Arial"/>
        </w:rPr>
      </w:pPr>
      <w:r>
        <w:rPr>
          <w:rFonts w:ascii="Arial" w:hAnsi="Arial" w:cs="Arial"/>
        </w:rPr>
        <w:t>The publisher should s</w:t>
      </w:r>
      <w:r w:rsidRPr="0067295B">
        <w:rPr>
          <w:rFonts w:ascii="Arial" w:hAnsi="Arial" w:cs="Arial"/>
        </w:rPr>
        <w:t xml:space="preserve">earch through for any text highlighted in yellow and insert the requested information it its place. You can delete anything that does not apply or add other requirements. </w:t>
      </w:r>
      <w:r>
        <w:rPr>
          <w:rFonts w:ascii="Arial" w:hAnsi="Arial" w:cs="Arial"/>
        </w:rPr>
        <w:t xml:space="preserve">Share </w:t>
      </w:r>
      <w:r w:rsidRPr="0067295B">
        <w:rPr>
          <w:rFonts w:ascii="Arial" w:hAnsi="Arial" w:cs="Arial"/>
        </w:rPr>
        <w:t xml:space="preserve">and discuss this </w:t>
      </w:r>
      <w:r>
        <w:rPr>
          <w:rFonts w:ascii="Arial" w:hAnsi="Arial" w:cs="Arial"/>
        </w:rPr>
        <w:t xml:space="preserve">document </w:t>
      </w:r>
      <w:r w:rsidRPr="0067295B">
        <w:rPr>
          <w:rFonts w:ascii="Arial" w:hAnsi="Arial" w:cs="Arial"/>
        </w:rPr>
        <w:t>with your negotiating partner</w:t>
      </w:r>
      <w:r>
        <w:rPr>
          <w:rFonts w:ascii="Arial" w:hAnsi="Arial" w:cs="Arial"/>
        </w:rPr>
        <w:t>, and refine it based on those discussions</w:t>
      </w:r>
      <w:r w:rsidRPr="0067295B">
        <w:rPr>
          <w:rFonts w:ascii="Arial" w:hAnsi="Arial" w:cs="Arial"/>
        </w:rPr>
        <w:t>.</w:t>
      </w:r>
    </w:p>
    <w:p w14:paraId="05B29A92" w14:textId="77777777" w:rsidR="0067295B" w:rsidRDefault="0067295B" w:rsidP="0067295B">
      <w:pPr>
        <w:spacing w:after="0" w:line="240" w:lineRule="auto"/>
        <w:ind w:left="1080"/>
        <w:rPr>
          <w:rFonts w:ascii="Arial" w:hAnsi="Arial" w:cs="Arial"/>
        </w:rPr>
      </w:pPr>
    </w:p>
    <w:p w14:paraId="09E0B88D" w14:textId="38F0B73E" w:rsidR="007F1A4B" w:rsidRDefault="0067295B" w:rsidP="0076562E">
      <w:pPr>
        <w:spacing w:after="0" w:line="240" w:lineRule="auto"/>
        <w:ind w:left="1077"/>
        <w:rPr>
          <w:rFonts w:ascii="Arial" w:hAnsi="Arial" w:cs="Arial"/>
        </w:rPr>
      </w:pPr>
      <w:r>
        <w:rPr>
          <w:rFonts w:ascii="Arial" w:hAnsi="Arial" w:cs="Arial"/>
        </w:rPr>
        <w:t>Once agreed, t</w:t>
      </w:r>
      <w:r w:rsidR="007F1A4B" w:rsidRPr="007F1A4B">
        <w:rPr>
          <w:rFonts w:ascii="Arial" w:hAnsi="Arial" w:cs="Arial"/>
        </w:rPr>
        <w:t>he consortium can share this document with members, so that they can decide if they wish to participate.</w:t>
      </w:r>
    </w:p>
    <w:p w14:paraId="7B79AE3D" w14:textId="77777777" w:rsidR="00B40746" w:rsidRDefault="00B40746" w:rsidP="00161A67">
      <w:pPr>
        <w:spacing w:after="0" w:line="240" w:lineRule="auto"/>
        <w:ind w:left="1080"/>
        <w:rPr>
          <w:rFonts w:ascii="Arial" w:hAnsi="Arial" w:cs="Arial"/>
        </w:rPr>
      </w:pPr>
    </w:p>
    <w:p w14:paraId="20DEA904" w14:textId="52FB4BD8" w:rsidR="002F515F" w:rsidRPr="007F1A4B" w:rsidRDefault="002F515F" w:rsidP="006F7452">
      <w:pPr>
        <w:numPr>
          <w:ilvl w:val="0"/>
          <w:numId w:val="11"/>
        </w:numPr>
        <w:spacing w:after="0" w:line="240" w:lineRule="auto"/>
        <w:rPr>
          <w:rStyle w:val="Strong"/>
          <w:rFonts w:ascii="Arial" w:hAnsi="Arial" w:cs="Arial"/>
          <w:b w:val="0"/>
          <w:bCs w:val="0"/>
        </w:rPr>
      </w:pPr>
      <w:r w:rsidRPr="00612058">
        <w:rPr>
          <w:rFonts w:ascii="Arial" w:hAnsi="Arial" w:cs="Arial"/>
        </w:rPr>
        <w:t>The Licence</w:t>
      </w:r>
    </w:p>
    <w:p w14:paraId="4B0FDEE5" w14:textId="205E38CE" w:rsidR="007F1A4B" w:rsidRDefault="007F1A4B" w:rsidP="003E62E1">
      <w:pPr>
        <w:spacing w:after="0" w:line="240" w:lineRule="auto"/>
        <w:ind w:left="1077"/>
        <w:rPr>
          <w:rFonts w:ascii="Arial" w:hAnsi="Arial" w:cs="Arial"/>
        </w:rPr>
      </w:pPr>
      <w:r>
        <w:rPr>
          <w:rFonts w:ascii="Arial" w:hAnsi="Arial" w:cs="Arial"/>
        </w:rPr>
        <w:lastRenderedPageBreak/>
        <w:t>This</w:t>
      </w:r>
      <w:r w:rsidRPr="002F515F">
        <w:rPr>
          <w:rFonts w:ascii="Arial" w:hAnsi="Arial" w:cs="Arial"/>
        </w:rPr>
        <w:t xml:space="preserve"> </w:t>
      </w:r>
      <w:r w:rsidR="003E62E1">
        <w:rPr>
          <w:rFonts w:ascii="Arial" w:hAnsi="Arial" w:cs="Arial"/>
        </w:rPr>
        <w:t>will be</w:t>
      </w:r>
      <w:r w:rsidR="003E62E1" w:rsidRPr="002F515F">
        <w:rPr>
          <w:rFonts w:ascii="Arial" w:hAnsi="Arial" w:cs="Arial"/>
        </w:rPr>
        <w:t xml:space="preserve"> </w:t>
      </w:r>
      <w:r w:rsidRPr="002F515F">
        <w:rPr>
          <w:rFonts w:ascii="Arial" w:hAnsi="Arial" w:cs="Arial"/>
        </w:rPr>
        <w:t xml:space="preserve">the </w:t>
      </w:r>
      <w:r w:rsidR="003E62E1">
        <w:rPr>
          <w:rFonts w:ascii="Arial" w:hAnsi="Arial" w:cs="Arial"/>
        </w:rPr>
        <w:t xml:space="preserve">signed, legally binding, </w:t>
      </w:r>
      <w:r w:rsidRPr="002F515F">
        <w:rPr>
          <w:rFonts w:ascii="Arial" w:hAnsi="Arial" w:cs="Arial"/>
        </w:rPr>
        <w:t>agreement between the publisher and the institution.</w:t>
      </w:r>
      <w:r w:rsidR="003E62E1">
        <w:rPr>
          <w:rFonts w:ascii="Arial" w:hAnsi="Arial" w:cs="Arial"/>
        </w:rPr>
        <w:t xml:space="preserve"> It’s best used after the offer has been accepted by the consortium, and you know which members will participate.</w:t>
      </w:r>
    </w:p>
    <w:p w14:paraId="59B602D0" w14:textId="77777777" w:rsidR="003E62E1" w:rsidRDefault="003E62E1" w:rsidP="003E62E1">
      <w:pPr>
        <w:spacing w:after="0" w:line="240" w:lineRule="auto"/>
        <w:ind w:left="1077"/>
        <w:rPr>
          <w:rFonts w:ascii="Arial" w:hAnsi="Arial" w:cs="Arial"/>
        </w:rPr>
      </w:pPr>
    </w:p>
    <w:p w14:paraId="38F18F3D" w14:textId="0F91FC99" w:rsidR="003E62E1" w:rsidRDefault="003E62E1" w:rsidP="003E62E1">
      <w:pPr>
        <w:spacing w:after="0" w:line="240" w:lineRule="auto"/>
        <w:ind w:left="1077"/>
        <w:rPr>
          <w:rFonts w:ascii="Arial" w:hAnsi="Arial" w:cs="Arial"/>
        </w:rPr>
      </w:pPr>
      <w:r>
        <w:rPr>
          <w:rFonts w:ascii="Arial" w:hAnsi="Arial" w:cs="Arial"/>
        </w:rPr>
        <w:t>Q</w:t>
      </w:r>
      <w:r w:rsidRPr="003E62E1">
        <w:rPr>
          <w:rFonts w:ascii="Arial" w:hAnsi="Arial" w:cs="Arial"/>
        </w:rPr>
        <w:t xml:space="preserve">uickly familiarise yourself with the document by glancing through </w:t>
      </w:r>
      <w:r w:rsidR="0009238F">
        <w:rPr>
          <w:rFonts w:ascii="Arial" w:hAnsi="Arial" w:cs="Arial"/>
        </w:rPr>
        <w:t>the cover page</w:t>
      </w:r>
      <w:r w:rsidRPr="003E62E1">
        <w:rPr>
          <w:rFonts w:ascii="Arial" w:hAnsi="Arial" w:cs="Arial"/>
        </w:rPr>
        <w:t xml:space="preserve">. It </w:t>
      </w:r>
      <w:r>
        <w:rPr>
          <w:rFonts w:ascii="Arial" w:hAnsi="Arial" w:cs="Arial"/>
        </w:rPr>
        <w:t xml:space="preserve">may </w:t>
      </w:r>
      <w:r w:rsidRPr="003E62E1">
        <w:rPr>
          <w:rFonts w:ascii="Arial" w:hAnsi="Arial" w:cs="Arial"/>
        </w:rPr>
        <w:t xml:space="preserve">initially look daunting, but there is a structure within that will help you navigate. You can delete any clauses or schedules that do not apply </w:t>
      </w:r>
      <w:r>
        <w:rPr>
          <w:rFonts w:ascii="Arial" w:hAnsi="Arial" w:cs="Arial"/>
        </w:rPr>
        <w:t xml:space="preserve">for your agreement </w:t>
      </w:r>
      <w:r w:rsidRPr="003E62E1">
        <w:rPr>
          <w:rFonts w:ascii="Arial" w:hAnsi="Arial" w:cs="Arial"/>
        </w:rPr>
        <w:t>but remember to update the clause and schedule numbers throughout.</w:t>
      </w:r>
      <w:r>
        <w:rPr>
          <w:rFonts w:ascii="Arial" w:hAnsi="Arial" w:cs="Arial"/>
        </w:rPr>
        <w:t xml:space="preserve"> S</w:t>
      </w:r>
      <w:r w:rsidRPr="003E62E1">
        <w:rPr>
          <w:rFonts w:ascii="Arial" w:hAnsi="Arial" w:cs="Arial"/>
        </w:rPr>
        <w:t>earch through for any text highlighted in blue and insert the requested information it its place.</w:t>
      </w:r>
      <w:r>
        <w:rPr>
          <w:rFonts w:ascii="Arial" w:hAnsi="Arial" w:cs="Arial"/>
        </w:rPr>
        <w:t xml:space="preserve"> In the Toolkit you will find a check list that provides some tips for tailoring this document and an explanation of each section within it.</w:t>
      </w:r>
    </w:p>
    <w:p w14:paraId="75CF78E2" w14:textId="335D6F43" w:rsidR="003E62E1" w:rsidRDefault="003E62E1" w:rsidP="003E62E1">
      <w:pPr>
        <w:spacing w:after="0" w:line="240" w:lineRule="auto"/>
        <w:ind w:left="1077"/>
        <w:rPr>
          <w:rFonts w:ascii="Arial" w:hAnsi="Arial" w:cs="Arial"/>
        </w:rPr>
      </w:pPr>
    </w:p>
    <w:p w14:paraId="7D6164C5" w14:textId="1A564BFC" w:rsidR="007F1A4B" w:rsidRPr="007F1A4B" w:rsidRDefault="003E62E1" w:rsidP="004B6503">
      <w:pPr>
        <w:spacing w:after="0" w:line="240" w:lineRule="auto"/>
        <w:ind w:left="1077"/>
        <w:rPr>
          <w:rFonts w:ascii="Arial" w:hAnsi="Arial" w:cs="Arial"/>
        </w:rPr>
      </w:pPr>
      <w:r>
        <w:rPr>
          <w:rFonts w:ascii="Arial" w:hAnsi="Arial" w:cs="Arial"/>
        </w:rPr>
        <w:t>We</w:t>
      </w:r>
      <w:r w:rsidRPr="003E62E1">
        <w:rPr>
          <w:rFonts w:ascii="Arial" w:hAnsi="Arial" w:cs="Arial"/>
        </w:rPr>
        <w:t xml:space="preserve"> recommend that you have the final version checked by a local lawyer</w:t>
      </w:r>
      <w:r>
        <w:rPr>
          <w:rFonts w:ascii="Arial" w:hAnsi="Arial" w:cs="Arial"/>
        </w:rPr>
        <w:t xml:space="preserve"> as the template is based in UK law and may need to be adapted</w:t>
      </w:r>
      <w:r w:rsidRPr="003E62E1">
        <w:rPr>
          <w:rFonts w:ascii="Arial" w:hAnsi="Arial" w:cs="Arial"/>
        </w:rPr>
        <w:t>.</w:t>
      </w:r>
      <w:r>
        <w:rPr>
          <w:rFonts w:ascii="Arial" w:hAnsi="Arial" w:cs="Arial"/>
        </w:rPr>
        <w:t xml:space="preserve"> </w:t>
      </w:r>
    </w:p>
    <w:p w14:paraId="5569545C" w14:textId="77777777" w:rsidR="00B40746" w:rsidRDefault="00B40746" w:rsidP="00161A67">
      <w:pPr>
        <w:spacing w:after="0" w:line="240" w:lineRule="auto"/>
        <w:ind w:left="1080"/>
        <w:rPr>
          <w:rFonts w:ascii="Arial" w:hAnsi="Arial" w:cs="Arial"/>
        </w:rPr>
      </w:pPr>
    </w:p>
    <w:p w14:paraId="1906D1B3" w14:textId="69C519C3" w:rsidR="002F515F" w:rsidRPr="007F1A4B" w:rsidRDefault="002F515F" w:rsidP="006F7452">
      <w:pPr>
        <w:numPr>
          <w:ilvl w:val="0"/>
          <w:numId w:val="11"/>
        </w:numPr>
        <w:spacing w:after="0" w:line="240" w:lineRule="auto"/>
        <w:rPr>
          <w:rStyle w:val="Strong"/>
          <w:rFonts w:ascii="Arial" w:hAnsi="Arial" w:cs="Arial"/>
          <w:b w:val="0"/>
          <w:bCs w:val="0"/>
        </w:rPr>
      </w:pPr>
      <w:r w:rsidRPr="00612058">
        <w:rPr>
          <w:rFonts w:ascii="Arial" w:hAnsi="Arial" w:cs="Arial"/>
        </w:rPr>
        <w:t>The Contract</w:t>
      </w:r>
      <w:r w:rsidRPr="007F1A4B">
        <w:rPr>
          <w:rStyle w:val="Strong"/>
          <w:rFonts w:ascii="Arial" w:hAnsi="Arial" w:cs="Arial"/>
        </w:rPr>
        <w:t xml:space="preserve"> </w:t>
      </w:r>
    </w:p>
    <w:p w14:paraId="12F95D20" w14:textId="6F7E5A13" w:rsidR="007F1A4B" w:rsidRDefault="004B6503" w:rsidP="004B6503">
      <w:pPr>
        <w:spacing w:after="0" w:line="240" w:lineRule="auto"/>
        <w:ind w:left="1077"/>
        <w:rPr>
          <w:rFonts w:ascii="Arial" w:hAnsi="Arial" w:cs="Arial"/>
        </w:rPr>
      </w:pPr>
      <w:r>
        <w:rPr>
          <w:rFonts w:ascii="Arial" w:hAnsi="Arial" w:cs="Arial"/>
        </w:rPr>
        <w:t>S</w:t>
      </w:r>
      <w:r w:rsidR="007F1A4B" w:rsidRPr="002F515F">
        <w:rPr>
          <w:rFonts w:ascii="Arial" w:hAnsi="Arial" w:cs="Arial"/>
        </w:rPr>
        <w:t xml:space="preserve">ome consortia choose also to have a legally binding contract with </w:t>
      </w:r>
      <w:r w:rsidR="006F7452">
        <w:rPr>
          <w:rFonts w:ascii="Arial" w:hAnsi="Arial" w:cs="Arial"/>
        </w:rPr>
        <w:t xml:space="preserve">the </w:t>
      </w:r>
      <w:r w:rsidR="007F1A4B" w:rsidRPr="002F515F">
        <w:rPr>
          <w:rFonts w:ascii="Arial" w:hAnsi="Arial" w:cs="Arial"/>
        </w:rPr>
        <w:t>publisher</w:t>
      </w:r>
      <w:r>
        <w:rPr>
          <w:rFonts w:ascii="Arial" w:hAnsi="Arial" w:cs="Arial"/>
        </w:rPr>
        <w:t xml:space="preserve"> in addition to a licence between the publisher and the institution</w:t>
      </w:r>
      <w:r w:rsidR="007F1A4B" w:rsidRPr="002F515F">
        <w:rPr>
          <w:rFonts w:ascii="Arial" w:hAnsi="Arial" w:cs="Arial"/>
        </w:rPr>
        <w:t xml:space="preserve">. </w:t>
      </w:r>
      <w:r w:rsidR="00AC00F0">
        <w:rPr>
          <w:rFonts w:ascii="Arial" w:hAnsi="Arial" w:cs="Arial"/>
        </w:rPr>
        <w:t xml:space="preserve">If so, use </w:t>
      </w:r>
      <w:r w:rsidR="00612058">
        <w:rPr>
          <w:rFonts w:ascii="Arial" w:hAnsi="Arial" w:cs="Arial"/>
        </w:rPr>
        <w:t>this</w:t>
      </w:r>
      <w:r w:rsidR="007F1A4B" w:rsidRPr="002F515F">
        <w:rPr>
          <w:rFonts w:ascii="Arial" w:hAnsi="Arial" w:cs="Arial"/>
        </w:rPr>
        <w:t xml:space="preserve"> </w:t>
      </w:r>
      <w:r w:rsidR="00612058">
        <w:rPr>
          <w:rFonts w:ascii="Arial" w:hAnsi="Arial" w:cs="Arial"/>
        </w:rPr>
        <w:t xml:space="preserve">document </w:t>
      </w:r>
      <w:r w:rsidR="00AC00F0">
        <w:rPr>
          <w:rFonts w:ascii="Arial" w:hAnsi="Arial" w:cs="Arial"/>
        </w:rPr>
        <w:t>which</w:t>
      </w:r>
      <w:r w:rsidR="007F1A4B" w:rsidRPr="002F515F">
        <w:rPr>
          <w:rFonts w:ascii="Arial" w:hAnsi="Arial" w:cs="Arial"/>
        </w:rPr>
        <w:t xml:space="preserve"> provides both the contract and licence.</w:t>
      </w:r>
    </w:p>
    <w:p w14:paraId="08536A2F" w14:textId="2CD290A1" w:rsidR="002F515F" w:rsidRPr="002F515F" w:rsidRDefault="002F515F" w:rsidP="004B6503">
      <w:pPr>
        <w:pStyle w:val="NormalWeb"/>
        <w:numPr>
          <w:ilvl w:val="0"/>
          <w:numId w:val="10"/>
        </w:numPr>
        <w:rPr>
          <w:rFonts w:ascii="Arial" w:hAnsi="Arial" w:cs="Arial"/>
          <w:sz w:val="22"/>
          <w:szCs w:val="22"/>
        </w:rPr>
      </w:pPr>
      <w:r w:rsidRPr="002F515F">
        <w:rPr>
          <w:rStyle w:val="Strong"/>
          <w:rFonts w:ascii="Arial" w:hAnsi="Arial" w:cs="Arial"/>
          <w:sz w:val="22"/>
          <w:szCs w:val="22"/>
        </w:rPr>
        <w:t>Acknowledgements</w:t>
      </w:r>
    </w:p>
    <w:p w14:paraId="008821D5" w14:textId="3ACAE43B" w:rsidR="00DB7D1D" w:rsidRDefault="002F515F" w:rsidP="004B6503">
      <w:pPr>
        <w:pStyle w:val="NormalWeb"/>
        <w:rPr>
          <w:rStyle w:val="Hyperlink"/>
          <w:rFonts w:ascii="Arial" w:hAnsi="Arial" w:cs="Arial"/>
          <w:sz w:val="22"/>
          <w:szCs w:val="22"/>
        </w:rPr>
      </w:pPr>
      <w:r w:rsidRPr="002F515F">
        <w:rPr>
          <w:rFonts w:ascii="Arial" w:hAnsi="Arial" w:cs="Arial"/>
          <w:sz w:val="22"/>
          <w:szCs w:val="22"/>
        </w:rPr>
        <w:t xml:space="preserve">The </w:t>
      </w:r>
      <w:r w:rsidR="004B6503">
        <w:rPr>
          <w:rFonts w:ascii="Arial" w:hAnsi="Arial" w:cs="Arial"/>
          <w:sz w:val="22"/>
          <w:szCs w:val="22"/>
        </w:rPr>
        <w:t xml:space="preserve">licence and </w:t>
      </w:r>
      <w:r w:rsidR="002D7A59">
        <w:rPr>
          <w:rFonts w:ascii="Arial" w:hAnsi="Arial" w:cs="Arial"/>
          <w:sz w:val="22"/>
          <w:szCs w:val="22"/>
        </w:rPr>
        <w:t xml:space="preserve">contract </w:t>
      </w:r>
      <w:r w:rsidRPr="002F515F">
        <w:rPr>
          <w:rFonts w:ascii="Arial" w:hAnsi="Arial" w:cs="Arial"/>
          <w:sz w:val="22"/>
          <w:szCs w:val="22"/>
        </w:rPr>
        <w:t>are based on the Jisc Model Licence for Society Publishers and SMPs</w:t>
      </w:r>
      <w:r w:rsidR="004B6503">
        <w:rPr>
          <w:rFonts w:ascii="Arial" w:hAnsi="Arial" w:cs="Arial"/>
          <w:sz w:val="22"/>
          <w:szCs w:val="22"/>
        </w:rPr>
        <w:t xml:space="preserve"> and </w:t>
      </w:r>
      <w:r w:rsidRPr="002F515F">
        <w:rPr>
          <w:rFonts w:ascii="Arial" w:hAnsi="Arial" w:cs="Arial"/>
          <w:sz w:val="22"/>
          <w:szCs w:val="22"/>
        </w:rPr>
        <w:t>the PA/Jisc model licence for journals.</w:t>
      </w:r>
      <w:r w:rsidR="00AC00F0">
        <w:rPr>
          <w:rFonts w:ascii="Arial" w:hAnsi="Arial" w:cs="Arial"/>
          <w:sz w:val="22"/>
          <w:szCs w:val="22"/>
        </w:rPr>
        <w:t xml:space="preserve"> </w:t>
      </w:r>
      <w:r w:rsidR="004B6503">
        <w:rPr>
          <w:rFonts w:ascii="Arial" w:hAnsi="Arial" w:cs="Arial"/>
          <w:sz w:val="22"/>
          <w:szCs w:val="22"/>
        </w:rPr>
        <w:t xml:space="preserve">Schedules 3 and 5 in the licence are </w:t>
      </w:r>
      <w:r w:rsidRPr="002F515F">
        <w:rPr>
          <w:rFonts w:ascii="Arial" w:hAnsi="Arial" w:cs="Arial"/>
          <w:sz w:val="22"/>
          <w:szCs w:val="22"/>
        </w:rPr>
        <w:t xml:space="preserve">based on the ESAC Open Access Service Level Agreement Template at </w:t>
      </w:r>
      <w:hyperlink r:id="rId5" w:history="1">
        <w:r w:rsidRPr="002F515F">
          <w:rPr>
            <w:rStyle w:val="Hyperlink"/>
            <w:rFonts w:ascii="Arial" w:hAnsi="Arial" w:cs="Arial"/>
            <w:sz w:val="22"/>
            <w:szCs w:val="22"/>
          </w:rPr>
          <w:t>https://esac-initiative.org/</w:t>
        </w:r>
      </w:hyperlink>
      <w:r w:rsidR="004B6503">
        <w:rPr>
          <w:rStyle w:val="Hyperlink"/>
          <w:rFonts w:ascii="Arial" w:hAnsi="Arial" w:cs="Arial"/>
          <w:sz w:val="22"/>
          <w:szCs w:val="22"/>
        </w:rPr>
        <w:t xml:space="preserve">. </w:t>
      </w:r>
      <w:r w:rsidR="004B6503">
        <w:rPr>
          <w:rFonts w:ascii="Arial" w:hAnsi="Arial" w:cs="Arial"/>
          <w:sz w:val="22"/>
          <w:szCs w:val="22"/>
        </w:rPr>
        <w:t>The data template is based on a Jisc spreadsheet.</w:t>
      </w:r>
    </w:p>
    <w:p w14:paraId="3B0A7898" w14:textId="6A1CEBE3" w:rsidR="00F82D8C" w:rsidRPr="00161A67" w:rsidRDefault="00F82D8C" w:rsidP="00000F66">
      <w:pPr>
        <w:pStyle w:val="NormalWeb"/>
        <w:rPr>
          <w:rFonts w:ascii="Arial" w:hAnsi="Arial" w:cs="Arial"/>
          <w:color w:val="000000" w:themeColor="text1"/>
        </w:rPr>
      </w:pPr>
      <w:r w:rsidRPr="00161A67">
        <w:rPr>
          <w:rStyle w:val="Hyperlink"/>
          <w:rFonts w:ascii="Arial" w:hAnsi="Arial" w:cs="Arial"/>
          <w:color w:val="000000" w:themeColor="text1"/>
          <w:sz w:val="22"/>
          <w:szCs w:val="22"/>
          <w:u w:val="none"/>
        </w:rPr>
        <w:t xml:space="preserve">We are grateful to the </w:t>
      </w:r>
      <w:r w:rsidR="003F702E" w:rsidRPr="00161A67">
        <w:rPr>
          <w:rStyle w:val="Hyperlink"/>
          <w:rFonts w:ascii="Arial" w:hAnsi="Arial" w:cs="Arial"/>
          <w:color w:val="000000" w:themeColor="text1"/>
          <w:sz w:val="22"/>
          <w:szCs w:val="22"/>
          <w:u w:val="none"/>
        </w:rPr>
        <w:t>following people</w:t>
      </w:r>
      <w:r w:rsidRPr="00161A67">
        <w:rPr>
          <w:rStyle w:val="Hyperlink"/>
          <w:rFonts w:ascii="Arial" w:hAnsi="Arial" w:cs="Arial"/>
          <w:color w:val="000000" w:themeColor="text1"/>
          <w:sz w:val="22"/>
          <w:szCs w:val="22"/>
          <w:u w:val="none"/>
        </w:rPr>
        <w:t xml:space="preserve"> for comments and suggestions for improving these documents, and for sharing their experiences of developing transformative agreements</w:t>
      </w:r>
      <w:r w:rsidR="003F702E" w:rsidRPr="00161A67">
        <w:rPr>
          <w:rStyle w:val="Hyperlink"/>
          <w:rFonts w:ascii="Arial" w:hAnsi="Arial" w:cs="Arial"/>
          <w:color w:val="000000" w:themeColor="text1"/>
          <w:sz w:val="22"/>
          <w:szCs w:val="22"/>
          <w:u w:val="none"/>
        </w:rPr>
        <w:t>: Matt Broadhead, Sara Bosshart, Colleen Campbell, Rod Cookson, Liam Earney,</w:t>
      </w:r>
      <w:r w:rsidR="0060457B" w:rsidRPr="0060457B">
        <w:rPr>
          <w:rStyle w:val="Hyperlink"/>
          <w:rFonts w:ascii="Arial" w:hAnsi="Arial" w:cs="Arial"/>
          <w:color w:val="000000" w:themeColor="text1"/>
          <w:sz w:val="22"/>
          <w:szCs w:val="22"/>
          <w:u w:val="none"/>
        </w:rPr>
        <w:t xml:space="preserve"> Laurent Fournier,</w:t>
      </w:r>
      <w:r w:rsidR="003F702E" w:rsidRPr="00161A67">
        <w:rPr>
          <w:rStyle w:val="Hyperlink"/>
          <w:rFonts w:ascii="Arial" w:hAnsi="Arial" w:cs="Arial"/>
          <w:color w:val="000000" w:themeColor="text1"/>
          <w:sz w:val="22"/>
          <w:szCs w:val="22"/>
          <w:u w:val="none"/>
        </w:rPr>
        <w:t xml:space="preserve"> Bob Gerrity, Kai </w:t>
      </w:r>
      <w:proofErr w:type="spellStart"/>
      <w:r w:rsidR="003F702E" w:rsidRPr="00161A67">
        <w:rPr>
          <w:rStyle w:val="Hyperlink"/>
          <w:rFonts w:ascii="Arial" w:hAnsi="Arial" w:cs="Arial"/>
          <w:color w:val="000000" w:themeColor="text1"/>
          <w:sz w:val="22"/>
          <w:szCs w:val="22"/>
          <w:u w:val="none"/>
        </w:rPr>
        <w:t>Geschuhn</w:t>
      </w:r>
      <w:proofErr w:type="spellEnd"/>
      <w:r w:rsidR="003F702E" w:rsidRPr="00161A67">
        <w:rPr>
          <w:rStyle w:val="Hyperlink"/>
          <w:rFonts w:ascii="Arial" w:hAnsi="Arial" w:cs="Arial"/>
          <w:color w:val="000000" w:themeColor="text1"/>
          <w:sz w:val="22"/>
          <w:szCs w:val="22"/>
          <w:u w:val="none"/>
        </w:rPr>
        <w:t>, Ciaran Hoogendoorn, Darco Jansen, Malavika Legge, Tasha Mellins-Cohen, Agnes Ponsati, Gaynor Redvers-Mutton, Elin Reeves, Kathryn Spiller, Mark Sutherland, Anna Vernon, and Paul Wearmouth</w:t>
      </w:r>
      <w:r w:rsidRPr="00161A67">
        <w:rPr>
          <w:rStyle w:val="Hyperlink"/>
          <w:rFonts w:ascii="Arial" w:hAnsi="Arial" w:cs="Arial"/>
          <w:color w:val="000000" w:themeColor="text1"/>
          <w:sz w:val="22"/>
          <w:szCs w:val="22"/>
          <w:u w:val="none"/>
        </w:rPr>
        <w:t>.</w:t>
      </w:r>
    </w:p>
    <w:sectPr w:rsidR="00F82D8C" w:rsidRPr="00161A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53C"/>
    <w:multiLevelType w:val="multilevel"/>
    <w:tmpl w:val="145697AA"/>
    <w:lvl w:ilvl="0">
      <w:start w:val="1"/>
      <w:numFmt w:val="decimal"/>
      <w:lvlText w:val="%1."/>
      <w:lvlJc w:val="left"/>
      <w:pPr>
        <w:tabs>
          <w:tab w:val="num" w:pos="1080"/>
        </w:tabs>
        <w:ind w:left="1080" w:hanging="360"/>
      </w:pPr>
      <w:rPr>
        <w:rFonts w:hint="default"/>
        <w:sz w:val="20"/>
      </w:rPr>
    </w:lvl>
    <w:lvl w:ilvl="1">
      <w:start w:val="1"/>
      <w:numFmt w:val="decimal"/>
      <w:lvlText w:val="%2."/>
      <w:lvlJc w:val="left"/>
      <w:pPr>
        <w:tabs>
          <w:tab w:val="num" w:pos="1800"/>
        </w:tabs>
        <w:ind w:left="1800" w:hanging="360"/>
      </w:pPr>
      <w:rPr>
        <w:rFonts w:hint="default"/>
        <w:sz w:val="20"/>
      </w:rPr>
    </w:lvl>
    <w:lvl w:ilvl="2" w:tentative="1">
      <w:start w:val="1"/>
      <w:numFmt w:val="decimal"/>
      <w:lvlText w:val="%3."/>
      <w:lvlJc w:val="left"/>
      <w:pPr>
        <w:tabs>
          <w:tab w:val="num" w:pos="2520"/>
        </w:tabs>
        <w:ind w:left="2520" w:hanging="360"/>
      </w:pPr>
      <w:rPr>
        <w:rFonts w:hint="default"/>
        <w:sz w:val="20"/>
      </w:rPr>
    </w:lvl>
    <w:lvl w:ilvl="3" w:tentative="1">
      <w:start w:val="1"/>
      <w:numFmt w:val="decimal"/>
      <w:lvlText w:val="%4."/>
      <w:lvlJc w:val="left"/>
      <w:pPr>
        <w:tabs>
          <w:tab w:val="num" w:pos="3240"/>
        </w:tabs>
        <w:ind w:left="3240" w:hanging="360"/>
      </w:pPr>
      <w:rPr>
        <w:rFonts w:hint="default"/>
        <w:sz w:val="20"/>
      </w:rPr>
    </w:lvl>
    <w:lvl w:ilvl="4" w:tentative="1">
      <w:start w:val="1"/>
      <w:numFmt w:val="decimal"/>
      <w:lvlText w:val="%5."/>
      <w:lvlJc w:val="left"/>
      <w:pPr>
        <w:tabs>
          <w:tab w:val="num" w:pos="3960"/>
        </w:tabs>
        <w:ind w:left="3960" w:hanging="360"/>
      </w:pPr>
      <w:rPr>
        <w:rFonts w:hint="default"/>
        <w:sz w:val="20"/>
      </w:rPr>
    </w:lvl>
    <w:lvl w:ilvl="5" w:tentative="1">
      <w:start w:val="1"/>
      <w:numFmt w:val="decimal"/>
      <w:lvlText w:val="%6."/>
      <w:lvlJc w:val="left"/>
      <w:pPr>
        <w:tabs>
          <w:tab w:val="num" w:pos="4680"/>
        </w:tabs>
        <w:ind w:left="4680" w:hanging="360"/>
      </w:pPr>
      <w:rPr>
        <w:rFonts w:hint="default"/>
        <w:sz w:val="20"/>
      </w:rPr>
    </w:lvl>
    <w:lvl w:ilvl="6" w:tentative="1">
      <w:start w:val="1"/>
      <w:numFmt w:val="decimal"/>
      <w:lvlText w:val="%7."/>
      <w:lvlJc w:val="left"/>
      <w:pPr>
        <w:tabs>
          <w:tab w:val="num" w:pos="5400"/>
        </w:tabs>
        <w:ind w:left="5400" w:hanging="360"/>
      </w:pPr>
      <w:rPr>
        <w:rFonts w:hint="default"/>
        <w:sz w:val="20"/>
      </w:rPr>
    </w:lvl>
    <w:lvl w:ilvl="7" w:tentative="1">
      <w:start w:val="1"/>
      <w:numFmt w:val="decimal"/>
      <w:lvlText w:val="%8."/>
      <w:lvlJc w:val="left"/>
      <w:pPr>
        <w:tabs>
          <w:tab w:val="num" w:pos="6120"/>
        </w:tabs>
        <w:ind w:left="6120" w:hanging="360"/>
      </w:pPr>
      <w:rPr>
        <w:rFonts w:hint="default"/>
        <w:sz w:val="20"/>
      </w:rPr>
    </w:lvl>
    <w:lvl w:ilvl="8" w:tentative="1">
      <w:start w:val="1"/>
      <w:numFmt w:val="decimal"/>
      <w:lvlText w:val="%9."/>
      <w:lvlJc w:val="left"/>
      <w:pPr>
        <w:tabs>
          <w:tab w:val="num" w:pos="6840"/>
        </w:tabs>
        <w:ind w:left="6840" w:hanging="360"/>
      </w:pPr>
      <w:rPr>
        <w:rFonts w:hint="default"/>
        <w:sz w:val="20"/>
      </w:rPr>
    </w:lvl>
  </w:abstractNum>
  <w:abstractNum w:abstractNumId="1" w15:restartNumberingAfterBreak="0">
    <w:nsid w:val="07D94A9F"/>
    <w:multiLevelType w:val="multilevel"/>
    <w:tmpl w:val="0AA005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40744"/>
    <w:multiLevelType w:val="hybridMultilevel"/>
    <w:tmpl w:val="D0562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B7917"/>
    <w:multiLevelType w:val="multilevel"/>
    <w:tmpl w:val="604E0D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EB127B"/>
    <w:multiLevelType w:val="hybridMultilevel"/>
    <w:tmpl w:val="01C0607E"/>
    <w:lvl w:ilvl="0" w:tplc="4572747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DD319B"/>
    <w:multiLevelType w:val="multilevel"/>
    <w:tmpl w:val="6F04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04FD1"/>
    <w:multiLevelType w:val="hybridMultilevel"/>
    <w:tmpl w:val="9A32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B3709"/>
    <w:multiLevelType w:val="hybridMultilevel"/>
    <w:tmpl w:val="16DEA2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C4964F8"/>
    <w:multiLevelType w:val="multilevel"/>
    <w:tmpl w:val="914EF38A"/>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sz w:val="20"/>
      </w:rPr>
    </w:lvl>
    <w:lvl w:ilvl="2" w:tentative="1">
      <w:start w:val="1"/>
      <w:numFmt w:val="decimal"/>
      <w:lvlText w:val="%3."/>
      <w:lvlJc w:val="left"/>
      <w:pPr>
        <w:tabs>
          <w:tab w:val="num" w:pos="2520"/>
        </w:tabs>
        <w:ind w:left="2520" w:hanging="360"/>
      </w:pPr>
      <w:rPr>
        <w:rFonts w:hint="default"/>
        <w:sz w:val="20"/>
      </w:rPr>
    </w:lvl>
    <w:lvl w:ilvl="3" w:tentative="1">
      <w:start w:val="1"/>
      <w:numFmt w:val="decimal"/>
      <w:lvlText w:val="%4."/>
      <w:lvlJc w:val="left"/>
      <w:pPr>
        <w:tabs>
          <w:tab w:val="num" w:pos="3240"/>
        </w:tabs>
        <w:ind w:left="3240" w:hanging="360"/>
      </w:pPr>
      <w:rPr>
        <w:rFonts w:hint="default"/>
        <w:sz w:val="20"/>
      </w:rPr>
    </w:lvl>
    <w:lvl w:ilvl="4" w:tentative="1">
      <w:start w:val="1"/>
      <w:numFmt w:val="decimal"/>
      <w:lvlText w:val="%5."/>
      <w:lvlJc w:val="left"/>
      <w:pPr>
        <w:tabs>
          <w:tab w:val="num" w:pos="3960"/>
        </w:tabs>
        <w:ind w:left="3960" w:hanging="360"/>
      </w:pPr>
      <w:rPr>
        <w:rFonts w:hint="default"/>
        <w:sz w:val="20"/>
      </w:rPr>
    </w:lvl>
    <w:lvl w:ilvl="5" w:tentative="1">
      <w:start w:val="1"/>
      <w:numFmt w:val="decimal"/>
      <w:lvlText w:val="%6."/>
      <w:lvlJc w:val="left"/>
      <w:pPr>
        <w:tabs>
          <w:tab w:val="num" w:pos="4680"/>
        </w:tabs>
        <w:ind w:left="4680" w:hanging="360"/>
      </w:pPr>
      <w:rPr>
        <w:rFonts w:hint="default"/>
        <w:sz w:val="20"/>
      </w:rPr>
    </w:lvl>
    <w:lvl w:ilvl="6" w:tentative="1">
      <w:start w:val="1"/>
      <w:numFmt w:val="decimal"/>
      <w:lvlText w:val="%7."/>
      <w:lvlJc w:val="left"/>
      <w:pPr>
        <w:tabs>
          <w:tab w:val="num" w:pos="5400"/>
        </w:tabs>
        <w:ind w:left="5400" w:hanging="360"/>
      </w:pPr>
      <w:rPr>
        <w:rFonts w:hint="default"/>
        <w:sz w:val="20"/>
      </w:rPr>
    </w:lvl>
    <w:lvl w:ilvl="7" w:tentative="1">
      <w:start w:val="1"/>
      <w:numFmt w:val="decimal"/>
      <w:lvlText w:val="%8."/>
      <w:lvlJc w:val="left"/>
      <w:pPr>
        <w:tabs>
          <w:tab w:val="num" w:pos="6120"/>
        </w:tabs>
        <w:ind w:left="6120" w:hanging="360"/>
      </w:pPr>
      <w:rPr>
        <w:rFonts w:hint="default"/>
        <w:sz w:val="20"/>
      </w:rPr>
    </w:lvl>
    <w:lvl w:ilvl="8" w:tentative="1">
      <w:start w:val="1"/>
      <w:numFmt w:val="decimal"/>
      <w:lvlText w:val="%9."/>
      <w:lvlJc w:val="left"/>
      <w:pPr>
        <w:tabs>
          <w:tab w:val="num" w:pos="6840"/>
        </w:tabs>
        <w:ind w:left="6840" w:hanging="360"/>
      </w:pPr>
      <w:rPr>
        <w:rFonts w:hint="default"/>
        <w:sz w:val="20"/>
      </w:rPr>
    </w:lvl>
  </w:abstractNum>
  <w:abstractNum w:abstractNumId="9" w15:restartNumberingAfterBreak="0">
    <w:nsid w:val="1EB54F15"/>
    <w:multiLevelType w:val="multilevel"/>
    <w:tmpl w:val="4F9C6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63281E"/>
    <w:multiLevelType w:val="multilevel"/>
    <w:tmpl w:val="71DA23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283C10"/>
    <w:multiLevelType w:val="hybridMultilevel"/>
    <w:tmpl w:val="FE22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31831"/>
    <w:multiLevelType w:val="hybridMultilevel"/>
    <w:tmpl w:val="784688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A33B1E"/>
    <w:multiLevelType w:val="multilevel"/>
    <w:tmpl w:val="4EFA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C55941"/>
    <w:multiLevelType w:val="hybridMultilevel"/>
    <w:tmpl w:val="AA46D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4B1A7F"/>
    <w:multiLevelType w:val="multilevel"/>
    <w:tmpl w:val="4544C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E972D7"/>
    <w:multiLevelType w:val="multilevel"/>
    <w:tmpl w:val="B58A2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A936D2"/>
    <w:multiLevelType w:val="hybridMultilevel"/>
    <w:tmpl w:val="87265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717D65"/>
    <w:multiLevelType w:val="multilevel"/>
    <w:tmpl w:val="B58A2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6C4324"/>
    <w:multiLevelType w:val="multilevel"/>
    <w:tmpl w:val="145697A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2D3D21"/>
    <w:multiLevelType w:val="multilevel"/>
    <w:tmpl w:val="145697AA"/>
    <w:lvl w:ilvl="0">
      <w:start w:val="1"/>
      <w:numFmt w:val="decimal"/>
      <w:lvlText w:val="%1."/>
      <w:lvlJc w:val="left"/>
      <w:pPr>
        <w:tabs>
          <w:tab w:val="num" w:pos="1080"/>
        </w:tabs>
        <w:ind w:left="1080" w:hanging="360"/>
      </w:pPr>
      <w:rPr>
        <w:rFonts w:hint="default"/>
        <w:sz w:val="20"/>
      </w:rPr>
    </w:lvl>
    <w:lvl w:ilvl="1">
      <w:start w:val="1"/>
      <w:numFmt w:val="decimal"/>
      <w:lvlText w:val="%2."/>
      <w:lvlJc w:val="left"/>
      <w:pPr>
        <w:tabs>
          <w:tab w:val="num" w:pos="1800"/>
        </w:tabs>
        <w:ind w:left="1800" w:hanging="360"/>
      </w:pPr>
      <w:rPr>
        <w:rFonts w:hint="default"/>
        <w:sz w:val="20"/>
      </w:rPr>
    </w:lvl>
    <w:lvl w:ilvl="2" w:tentative="1">
      <w:start w:val="1"/>
      <w:numFmt w:val="decimal"/>
      <w:lvlText w:val="%3."/>
      <w:lvlJc w:val="left"/>
      <w:pPr>
        <w:tabs>
          <w:tab w:val="num" w:pos="2520"/>
        </w:tabs>
        <w:ind w:left="2520" w:hanging="360"/>
      </w:pPr>
      <w:rPr>
        <w:rFonts w:hint="default"/>
        <w:sz w:val="20"/>
      </w:rPr>
    </w:lvl>
    <w:lvl w:ilvl="3" w:tentative="1">
      <w:start w:val="1"/>
      <w:numFmt w:val="decimal"/>
      <w:lvlText w:val="%4."/>
      <w:lvlJc w:val="left"/>
      <w:pPr>
        <w:tabs>
          <w:tab w:val="num" w:pos="3240"/>
        </w:tabs>
        <w:ind w:left="3240" w:hanging="360"/>
      </w:pPr>
      <w:rPr>
        <w:rFonts w:hint="default"/>
        <w:sz w:val="20"/>
      </w:rPr>
    </w:lvl>
    <w:lvl w:ilvl="4" w:tentative="1">
      <w:start w:val="1"/>
      <w:numFmt w:val="decimal"/>
      <w:lvlText w:val="%5."/>
      <w:lvlJc w:val="left"/>
      <w:pPr>
        <w:tabs>
          <w:tab w:val="num" w:pos="3960"/>
        </w:tabs>
        <w:ind w:left="3960" w:hanging="360"/>
      </w:pPr>
      <w:rPr>
        <w:rFonts w:hint="default"/>
        <w:sz w:val="20"/>
      </w:rPr>
    </w:lvl>
    <w:lvl w:ilvl="5" w:tentative="1">
      <w:start w:val="1"/>
      <w:numFmt w:val="decimal"/>
      <w:lvlText w:val="%6."/>
      <w:lvlJc w:val="left"/>
      <w:pPr>
        <w:tabs>
          <w:tab w:val="num" w:pos="4680"/>
        </w:tabs>
        <w:ind w:left="4680" w:hanging="360"/>
      </w:pPr>
      <w:rPr>
        <w:rFonts w:hint="default"/>
        <w:sz w:val="20"/>
      </w:rPr>
    </w:lvl>
    <w:lvl w:ilvl="6" w:tentative="1">
      <w:start w:val="1"/>
      <w:numFmt w:val="decimal"/>
      <w:lvlText w:val="%7."/>
      <w:lvlJc w:val="left"/>
      <w:pPr>
        <w:tabs>
          <w:tab w:val="num" w:pos="5400"/>
        </w:tabs>
        <w:ind w:left="5400" w:hanging="360"/>
      </w:pPr>
      <w:rPr>
        <w:rFonts w:hint="default"/>
        <w:sz w:val="20"/>
      </w:rPr>
    </w:lvl>
    <w:lvl w:ilvl="7" w:tentative="1">
      <w:start w:val="1"/>
      <w:numFmt w:val="decimal"/>
      <w:lvlText w:val="%8."/>
      <w:lvlJc w:val="left"/>
      <w:pPr>
        <w:tabs>
          <w:tab w:val="num" w:pos="6120"/>
        </w:tabs>
        <w:ind w:left="6120" w:hanging="360"/>
      </w:pPr>
      <w:rPr>
        <w:rFonts w:hint="default"/>
        <w:sz w:val="20"/>
      </w:rPr>
    </w:lvl>
    <w:lvl w:ilvl="8" w:tentative="1">
      <w:start w:val="1"/>
      <w:numFmt w:val="decimal"/>
      <w:lvlText w:val="%9."/>
      <w:lvlJc w:val="left"/>
      <w:pPr>
        <w:tabs>
          <w:tab w:val="num" w:pos="6840"/>
        </w:tabs>
        <w:ind w:left="6840" w:hanging="360"/>
      </w:pPr>
      <w:rPr>
        <w:rFonts w:hint="default"/>
        <w:sz w:val="20"/>
      </w:rPr>
    </w:lvl>
  </w:abstractNum>
  <w:abstractNum w:abstractNumId="21" w15:restartNumberingAfterBreak="0">
    <w:nsid w:val="51EF027A"/>
    <w:multiLevelType w:val="multilevel"/>
    <w:tmpl w:val="914EF38A"/>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sz w:val="20"/>
      </w:rPr>
    </w:lvl>
    <w:lvl w:ilvl="2">
      <w:start w:val="1"/>
      <w:numFmt w:val="decimal"/>
      <w:lvlText w:val="%3."/>
      <w:lvlJc w:val="left"/>
      <w:pPr>
        <w:tabs>
          <w:tab w:val="num" w:pos="2520"/>
        </w:tabs>
        <w:ind w:left="2520" w:hanging="360"/>
      </w:pPr>
      <w:rPr>
        <w:rFonts w:hint="default"/>
        <w:sz w:val="20"/>
      </w:rPr>
    </w:lvl>
    <w:lvl w:ilvl="3" w:tentative="1">
      <w:start w:val="1"/>
      <w:numFmt w:val="decimal"/>
      <w:lvlText w:val="%4."/>
      <w:lvlJc w:val="left"/>
      <w:pPr>
        <w:tabs>
          <w:tab w:val="num" w:pos="3240"/>
        </w:tabs>
        <w:ind w:left="3240" w:hanging="360"/>
      </w:pPr>
      <w:rPr>
        <w:rFonts w:hint="default"/>
        <w:sz w:val="20"/>
      </w:rPr>
    </w:lvl>
    <w:lvl w:ilvl="4" w:tentative="1">
      <w:start w:val="1"/>
      <w:numFmt w:val="decimal"/>
      <w:lvlText w:val="%5."/>
      <w:lvlJc w:val="left"/>
      <w:pPr>
        <w:tabs>
          <w:tab w:val="num" w:pos="3960"/>
        </w:tabs>
        <w:ind w:left="3960" w:hanging="360"/>
      </w:pPr>
      <w:rPr>
        <w:rFonts w:hint="default"/>
        <w:sz w:val="20"/>
      </w:rPr>
    </w:lvl>
    <w:lvl w:ilvl="5" w:tentative="1">
      <w:start w:val="1"/>
      <w:numFmt w:val="decimal"/>
      <w:lvlText w:val="%6."/>
      <w:lvlJc w:val="left"/>
      <w:pPr>
        <w:tabs>
          <w:tab w:val="num" w:pos="4680"/>
        </w:tabs>
        <w:ind w:left="4680" w:hanging="360"/>
      </w:pPr>
      <w:rPr>
        <w:rFonts w:hint="default"/>
        <w:sz w:val="20"/>
      </w:rPr>
    </w:lvl>
    <w:lvl w:ilvl="6" w:tentative="1">
      <w:start w:val="1"/>
      <w:numFmt w:val="decimal"/>
      <w:lvlText w:val="%7."/>
      <w:lvlJc w:val="left"/>
      <w:pPr>
        <w:tabs>
          <w:tab w:val="num" w:pos="5400"/>
        </w:tabs>
        <w:ind w:left="5400" w:hanging="360"/>
      </w:pPr>
      <w:rPr>
        <w:rFonts w:hint="default"/>
        <w:sz w:val="20"/>
      </w:rPr>
    </w:lvl>
    <w:lvl w:ilvl="7" w:tentative="1">
      <w:start w:val="1"/>
      <w:numFmt w:val="decimal"/>
      <w:lvlText w:val="%8."/>
      <w:lvlJc w:val="left"/>
      <w:pPr>
        <w:tabs>
          <w:tab w:val="num" w:pos="6120"/>
        </w:tabs>
        <w:ind w:left="6120" w:hanging="360"/>
      </w:pPr>
      <w:rPr>
        <w:rFonts w:hint="default"/>
        <w:sz w:val="20"/>
      </w:rPr>
    </w:lvl>
    <w:lvl w:ilvl="8" w:tentative="1">
      <w:start w:val="1"/>
      <w:numFmt w:val="decimal"/>
      <w:lvlText w:val="%9."/>
      <w:lvlJc w:val="left"/>
      <w:pPr>
        <w:tabs>
          <w:tab w:val="num" w:pos="6840"/>
        </w:tabs>
        <w:ind w:left="6840" w:hanging="360"/>
      </w:pPr>
      <w:rPr>
        <w:rFonts w:hint="default"/>
        <w:sz w:val="20"/>
      </w:rPr>
    </w:lvl>
  </w:abstractNum>
  <w:abstractNum w:abstractNumId="22" w15:restartNumberingAfterBreak="0">
    <w:nsid w:val="52222D84"/>
    <w:multiLevelType w:val="hybridMultilevel"/>
    <w:tmpl w:val="1BE46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4476E62"/>
    <w:multiLevelType w:val="hybridMultilevel"/>
    <w:tmpl w:val="06961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651427"/>
    <w:multiLevelType w:val="multilevel"/>
    <w:tmpl w:val="FE2EF4DE"/>
    <w:lvl w:ilvl="0">
      <w:start w:val="1"/>
      <w:numFmt w:val="decimal"/>
      <w:lvlText w:val="%1."/>
      <w:lvlJc w:val="left"/>
      <w:pPr>
        <w:tabs>
          <w:tab w:val="num" w:pos="1080"/>
        </w:tabs>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rPr>
        <w:rFonts w:hint="default"/>
        <w:sz w:val="20"/>
      </w:rPr>
    </w:lvl>
    <w:lvl w:ilvl="3" w:tentative="1">
      <w:start w:val="1"/>
      <w:numFmt w:val="decimal"/>
      <w:lvlText w:val="%4."/>
      <w:lvlJc w:val="left"/>
      <w:pPr>
        <w:tabs>
          <w:tab w:val="num" w:pos="3240"/>
        </w:tabs>
        <w:ind w:left="3240" w:hanging="360"/>
      </w:pPr>
      <w:rPr>
        <w:rFonts w:hint="default"/>
        <w:sz w:val="20"/>
      </w:rPr>
    </w:lvl>
    <w:lvl w:ilvl="4" w:tentative="1">
      <w:start w:val="1"/>
      <w:numFmt w:val="decimal"/>
      <w:lvlText w:val="%5."/>
      <w:lvlJc w:val="left"/>
      <w:pPr>
        <w:tabs>
          <w:tab w:val="num" w:pos="3960"/>
        </w:tabs>
        <w:ind w:left="3960" w:hanging="360"/>
      </w:pPr>
      <w:rPr>
        <w:rFonts w:hint="default"/>
        <w:sz w:val="20"/>
      </w:rPr>
    </w:lvl>
    <w:lvl w:ilvl="5" w:tentative="1">
      <w:start w:val="1"/>
      <w:numFmt w:val="decimal"/>
      <w:lvlText w:val="%6."/>
      <w:lvlJc w:val="left"/>
      <w:pPr>
        <w:tabs>
          <w:tab w:val="num" w:pos="4680"/>
        </w:tabs>
        <w:ind w:left="4680" w:hanging="360"/>
      </w:pPr>
      <w:rPr>
        <w:rFonts w:hint="default"/>
        <w:sz w:val="20"/>
      </w:rPr>
    </w:lvl>
    <w:lvl w:ilvl="6" w:tentative="1">
      <w:start w:val="1"/>
      <w:numFmt w:val="decimal"/>
      <w:lvlText w:val="%7."/>
      <w:lvlJc w:val="left"/>
      <w:pPr>
        <w:tabs>
          <w:tab w:val="num" w:pos="5400"/>
        </w:tabs>
        <w:ind w:left="5400" w:hanging="360"/>
      </w:pPr>
      <w:rPr>
        <w:rFonts w:hint="default"/>
        <w:sz w:val="20"/>
      </w:rPr>
    </w:lvl>
    <w:lvl w:ilvl="7" w:tentative="1">
      <w:start w:val="1"/>
      <w:numFmt w:val="decimal"/>
      <w:lvlText w:val="%8."/>
      <w:lvlJc w:val="left"/>
      <w:pPr>
        <w:tabs>
          <w:tab w:val="num" w:pos="6120"/>
        </w:tabs>
        <w:ind w:left="6120" w:hanging="360"/>
      </w:pPr>
      <w:rPr>
        <w:rFonts w:hint="default"/>
        <w:sz w:val="20"/>
      </w:rPr>
    </w:lvl>
    <w:lvl w:ilvl="8" w:tentative="1">
      <w:start w:val="1"/>
      <w:numFmt w:val="decimal"/>
      <w:lvlText w:val="%9."/>
      <w:lvlJc w:val="left"/>
      <w:pPr>
        <w:tabs>
          <w:tab w:val="num" w:pos="6840"/>
        </w:tabs>
        <w:ind w:left="6840" w:hanging="360"/>
      </w:pPr>
      <w:rPr>
        <w:rFonts w:hint="default"/>
        <w:sz w:val="20"/>
      </w:rPr>
    </w:lvl>
  </w:abstractNum>
  <w:abstractNum w:abstractNumId="25" w15:restartNumberingAfterBreak="0">
    <w:nsid w:val="59031672"/>
    <w:multiLevelType w:val="multilevel"/>
    <w:tmpl w:val="FE2EF4DE"/>
    <w:lvl w:ilvl="0">
      <w:start w:val="1"/>
      <w:numFmt w:val="decimal"/>
      <w:lvlText w:val="%1."/>
      <w:lvlJc w:val="left"/>
      <w:pPr>
        <w:tabs>
          <w:tab w:val="num" w:pos="1080"/>
        </w:tabs>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rPr>
        <w:rFonts w:hint="default"/>
        <w:sz w:val="20"/>
      </w:rPr>
    </w:lvl>
    <w:lvl w:ilvl="3" w:tentative="1">
      <w:start w:val="1"/>
      <w:numFmt w:val="decimal"/>
      <w:lvlText w:val="%4."/>
      <w:lvlJc w:val="left"/>
      <w:pPr>
        <w:tabs>
          <w:tab w:val="num" w:pos="3240"/>
        </w:tabs>
        <w:ind w:left="3240" w:hanging="360"/>
      </w:pPr>
      <w:rPr>
        <w:rFonts w:hint="default"/>
        <w:sz w:val="20"/>
      </w:rPr>
    </w:lvl>
    <w:lvl w:ilvl="4" w:tentative="1">
      <w:start w:val="1"/>
      <w:numFmt w:val="decimal"/>
      <w:lvlText w:val="%5."/>
      <w:lvlJc w:val="left"/>
      <w:pPr>
        <w:tabs>
          <w:tab w:val="num" w:pos="3960"/>
        </w:tabs>
        <w:ind w:left="3960" w:hanging="360"/>
      </w:pPr>
      <w:rPr>
        <w:rFonts w:hint="default"/>
        <w:sz w:val="20"/>
      </w:rPr>
    </w:lvl>
    <w:lvl w:ilvl="5" w:tentative="1">
      <w:start w:val="1"/>
      <w:numFmt w:val="decimal"/>
      <w:lvlText w:val="%6."/>
      <w:lvlJc w:val="left"/>
      <w:pPr>
        <w:tabs>
          <w:tab w:val="num" w:pos="4680"/>
        </w:tabs>
        <w:ind w:left="4680" w:hanging="360"/>
      </w:pPr>
      <w:rPr>
        <w:rFonts w:hint="default"/>
        <w:sz w:val="20"/>
      </w:rPr>
    </w:lvl>
    <w:lvl w:ilvl="6" w:tentative="1">
      <w:start w:val="1"/>
      <w:numFmt w:val="decimal"/>
      <w:lvlText w:val="%7."/>
      <w:lvlJc w:val="left"/>
      <w:pPr>
        <w:tabs>
          <w:tab w:val="num" w:pos="5400"/>
        </w:tabs>
        <w:ind w:left="5400" w:hanging="360"/>
      </w:pPr>
      <w:rPr>
        <w:rFonts w:hint="default"/>
        <w:sz w:val="20"/>
      </w:rPr>
    </w:lvl>
    <w:lvl w:ilvl="7" w:tentative="1">
      <w:start w:val="1"/>
      <w:numFmt w:val="decimal"/>
      <w:lvlText w:val="%8."/>
      <w:lvlJc w:val="left"/>
      <w:pPr>
        <w:tabs>
          <w:tab w:val="num" w:pos="6120"/>
        </w:tabs>
        <w:ind w:left="6120" w:hanging="360"/>
      </w:pPr>
      <w:rPr>
        <w:rFonts w:hint="default"/>
        <w:sz w:val="20"/>
      </w:rPr>
    </w:lvl>
    <w:lvl w:ilvl="8" w:tentative="1">
      <w:start w:val="1"/>
      <w:numFmt w:val="decimal"/>
      <w:lvlText w:val="%9."/>
      <w:lvlJc w:val="left"/>
      <w:pPr>
        <w:tabs>
          <w:tab w:val="num" w:pos="6840"/>
        </w:tabs>
        <w:ind w:left="6840" w:hanging="360"/>
      </w:pPr>
      <w:rPr>
        <w:rFonts w:hint="default"/>
        <w:sz w:val="20"/>
      </w:rPr>
    </w:lvl>
  </w:abstractNum>
  <w:abstractNum w:abstractNumId="26" w15:restartNumberingAfterBreak="0">
    <w:nsid w:val="5C7B2BC9"/>
    <w:multiLevelType w:val="multilevel"/>
    <w:tmpl w:val="FE2EF4DE"/>
    <w:lvl w:ilvl="0">
      <w:start w:val="1"/>
      <w:numFmt w:val="decimal"/>
      <w:lvlText w:val="%1."/>
      <w:lvlJc w:val="left"/>
      <w:pPr>
        <w:tabs>
          <w:tab w:val="num" w:pos="1080"/>
        </w:tabs>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rPr>
        <w:rFonts w:hint="default"/>
        <w:sz w:val="20"/>
      </w:rPr>
    </w:lvl>
    <w:lvl w:ilvl="3" w:tentative="1">
      <w:start w:val="1"/>
      <w:numFmt w:val="decimal"/>
      <w:lvlText w:val="%4."/>
      <w:lvlJc w:val="left"/>
      <w:pPr>
        <w:tabs>
          <w:tab w:val="num" w:pos="3240"/>
        </w:tabs>
        <w:ind w:left="3240" w:hanging="360"/>
      </w:pPr>
      <w:rPr>
        <w:rFonts w:hint="default"/>
        <w:sz w:val="20"/>
      </w:rPr>
    </w:lvl>
    <w:lvl w:ilvl="4" w:tentative="1">
      <w:start w:val="1"/>
      <w:numFmt w:val="decimal"/>
      <w:lvlText w:val="%5."/>
      <w:lvlJc w:val="left"/>
      <w:pPr>
        <w:tabs>
          <w:tab w:val="num" w:pos="3960"/>
        </w:tabs>
        <w:ind w:left="3960" w:hanging="360"/>
      </w:pPr>
      <w:rPr>
        <w:rFonts w:hint="default"/>
        <w:sz w:val="20"/>
      </w:rPr>
    </w:lvl>
    <w:lvl w:ilvl="5" w:tentative="1">
      <w:start w:val="1"/>
      <w:numFmt w:val="decimal"/>
      <w:lvlText w:val="%6."/>
      <w:lvlJc w:val="left"/>
      <w:pPr>
        <w:tabs>
          <w:tab w:val="num" w:pos="4680"/>
        </w:tabs>
        <w:ind w:left="4680" w:hanging="360"/>
      </w:pPr>
      <w:rPr>
        <w:rFonts w:hint="default"/>
        <w:sz w:val="20"/>
      </w:rPr>
    </w:lvl>
    <w:lvl w:ilvl="6" w:tentative="1">
      <w:start w:val="1"/>
      <w:numFmt w:val="decimal"/>
      <w:lvlText w:val="%7."/>
      <w:lvlJc w:val="left"/>
      <w:pPr>
        <w:tabs>
          <w:tab w:val="num" w:pos="5400"/>
        </w:tabs>
        <w:ind w:left="5400" w:hanging="360"/>
      </w:pPr>
      <w:rPr>
        <w:rFonts w:hint="default"/>
        <w:sz w:val="20"/>
      </w:rPr>
    </w:lvl>
    <w:lvl w:ilvl="7" w:tentative="1">
      <w:start w:val="1"/>
      <w:numFmt w:val="decimal"/>
      <w:lvlText w:val="%8."/>
      <w:lvlJc w:val="left"/>
      <w:pPr>
        <w:tabs>
          <w:tab w:val="num" w:pos="6120"/>
        </w:tabs>
        <w:ind w:left="6120" w:hanging="360"/>
      </w:pPr>
      <w:rPr>
        <w:rFonts w:hint="default"/>
        <w:sz w:val="20"/>
      </w:rPr>
    </w:lvl>
    <w:lvl w:ilvl="8" w:tentative="1">
      <w:start w:val="1"/>
      <w:numFmt w:val="decimal"/>
      <w:lvlText w:val="%9."/>
      <w:lvlJc w:val="left"/>
      <w:pPr>
        <w:tabs>
          <w:tab w:val="num" w:pos="6840"/>
        </w:tabs>
        <w:ind w:left="6840" w:hanging="360"/>
      </w:pPr>
      <w:rPr>
        <w:rFonts w:hint="default"/>
        <w:sz w:val="20"/>
      </w:rPr>
    </w:lvl>
  </w:abstractNum>
  <w:abstractNum w:abstractNumId="27" w15:restartNumberingAfterBreak="0">
    <w:nsid w:val="620E7598"/>
    <w:multiLevelType w:val="multilevel"/>
    <w:tmpl w:val="914EF38A"/>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sz w:val="20"/>
      </w:rPr>
    </w:lvl>
    <w:lvl w:ilvl="2" w:tentative="1">
      <w:start w:val="1"/>
      <w:numFmt w:val="decimal"/>
      <w:lvlText w:val="%3."/>
      <w:lvlJc w:val="left"/>
      <w:pPr>
        <w:tabs>
          <w:tab w:val="num" w:pos="2520"/>
        </w:tabs>
        <w:ind w:left="2520" w:hanging="360"/>
      </w:pPr>
      <w:rPr>
        <w:rFonts w:hint="default"/>
        <w:sz w:val="20"/>
      </w:rPr>
    </w:lvl>
    <w:lvl w:ilvl="3" w:tentative="1">
      <w:start w:val="1"/>
      <w:numFmt w:val="decimal"/>
      <w:lvlText w:val="%4."/>
      <w:lvlJc w:val="left"/>
      <w:pPr>
        <w:tabs>
          <w:tab w:val="num" w:pos="3240"/>
        </w:tabs>
        <w:ind w:left="3240" w:hanging="360"/>
      </w:pPr>
      <w:rPr>
        <w:rFonts w:hint="default"/>
        <w:sz w:val="20"/>
      </w:rPr>
    </w:lvl>
    <w:lvl w:ilvl="4" w:tentative="1">
      <w:start w:val="1"/>
      <w:numFmt w:val="decimal"/>
      <w:lvlText w:val="%5."/>
      <w:lvlJc w:val="left"/>
      <w:pPr>
        <w:tabs>
          <w:tab w:val="num" w:pos="3960"/>
        </w:tabs>
        <w:ind w:left="3960" w:hanging="360"/>
      </w:pPr>
      <w:rPr>
        <w:rFonts w:hint="default"/>
        <w:sz w:val="20"/>
      </w:rPr>
    </w:lvl>
    <w:lvl w:ilvl="5" w:tentative="1">
      <w:start w:val="1"/>
      <w:numFmt w:val="decimal"/>
      <w:lvlText w:val="%6."/>
      <w:lvlJc w:val="left"/>
      <w:pPr>
        <w:tabs>
          <w:tab w:val="num" w:pos="4680"/>
        </w:tabs>
        <w:ind w:left="4680" w:hanging="360"/>
      </w:pPr>
      <w:rPr>
        <w:rFonts w:hint="default"/>
        <w:sz w:val="20"/>
      </w:rPr>
    </w:lvl>
    <w:lvl w:ilvl="6" w:tentative="1">
      <w:start w:val="1"/>
      <w:numFmt w:val="decimal"/>
      <w:lvlText w:val="%7."/>
      <w:lvlJc w:val="left"/>
      <w:pPr>
        <w:tabs>
          <w:tab w:val="num" w:pos="5400"/>
        </w:tabs>
        <w:ind w:left="5400" w:hanging="360"/>
      </w:pPr>
      <w:rPr>
        <w:rFonts w:hint="default"/>
        <w:sz w:val="20"/>
      </w:rPr>
    </w:lvl>
    <w:lvl w:ilvl="7" w:tentative="1">
      <w:start w:val="1"/>
      <w:numFmt w:val="decimal"/>
      <w:lvlText w:val="%8."/>
      <w:lvlJc w:val="left"/>
      <w:pPr>
        <w:tabs>
          <w:tab w:val="num" w:pos="6120"/>
        </w:tabs>
        <w:ind w:left="6120" w:hanging="360"/>
      </w:pPr>
      <w:rPr>
        <w:rFonts w:hint="default"/>
        <w:sz w:val="20"/>
      </w:rPr>
    </w:lvl>
    <w:lvl w:ilvl="8" w:tentative="1">
      <w:start w:val="1"/>
      <w:numFmt w:val="decimal"/>
      <w:lvlText w:val="%9."/>
      <w:lvlJc w:val="left"/>
      <w:pPr>
        <w:tabs>
          <w:tab w:val="num" w:pos="6840"/>
        </w:tabs>
        <w:ind w:left="6840" w:hanging="360"/>
      </w:pPr>
      <w:rPr>
        <w:rFonts w:hint="default"/>
        <w:sz w:val="20"/>
      </w:rPr>
    </w:lvl>
  </w:abstractNum>
  <w:abstractNum w:abstractNumId="28" w15:restartNumberingAfterBreak="0">
    <w:nsid w:val="69965A61"/>
    <w:multiLevelType w:val="multilevel"/>
    <w:tmpl w:val="E73EE3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0C2F44"/>
    <w:multiLevelType w:val="multilevel"/>
    <w:tmpl w:val="E2185828"/>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2498"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30" w15:restartNumberingAfterBreak="0">
    <w:nsid w:val="6D371F8B"/>
    <w:multiLevelType w:val="hybridMultilevel"/>
    <w:tmpl w:val="AA46D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6E3916"/>
    <w:multiLevelType w:val="multilevel"/>
    <w:tmpl w:val="9C3E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3D6156"/>
    <w:multiLevelType w:val="hybridMultilevel"/>
    <w:tmpl w:val="DFAA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3172C9"/>
    <w:multiLevelType w:val="multilevel"/>
    <w:tmpl w:val="B58A2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9E295C"/>
    <w:multiLevelType w:val="multilevel"/>
    <w:tmpl w:val="B372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29"/>
  </w:num>
  <w:num w:numId="4">
    <w:abstractNumId w:val="14"/>
  </w:num>
  <w:num w:numId="5">
    <w:abstractNumId w:val="4"/>
  </w:num>
  <w:num w:numId="6">
    <w:abstractNumId w:val="30"/>
  </w:num>
  <w:num w:numId="7">
    <w:abstractNumId w:val="17"/>
  </w:num>
  <w:num w:numId="8">
    <w:abstractNumId w:val="23"/>
  </w:num>
  <w:num w:numId="9">
    <w:abstractNumId w:val="2"/>
  </w:num>
  <w:num w:numId="10">
    <w:abstractNumId w:val="19"/>
  </w:num>
  <w:num w:numId="11">
    <w:abstractNumId w:val="0"/>
  </w:num>
  <w:num w:numId="12">
    <w:abstractNumId w:val="1"/>
  </w:num>
  <w:num w:numId="13">
    <w:abstractNumId w:val="5"/>
  </w:num>
  <w:num w:numId="14">
    <w:abstractNumId w:val="3"/>
  </w:num>
  <w:num w:numId="15">
    <w:abstractNumId w:val="13"/>
  </w:num>
  <w:num w:numId="16">
    <w:abstractNumId w:val="10"/>
  </w:num>
  <w:num w:numId="17">
    <w:abstractNumId w:val="34"/>
  </w:num>
  <w:num w:numId="18">
    <w:abstractNumId w:val="28"/>
  </w:num>
  <w:num w:numId="19">
    <w:abstractNumId w:val="15"/>
  </w:num>
  <w:num w:numId="20">
    <w:abstractNumId w:val="31"/>
  </w:num>
  <w:num w:numId="21">
    <w:abstractNumId w:val="26"/>
  </w:num>
  <w:num w:numId="22">
    <w:abstractNumId w:val="25"/>
  </w:num>
  <w:num w:numId="23">
    <w:abstractNumId w:val="24"/>
  </w:num>
  <w:num w:numId="24">
    <w:abstractNumId w:val="7"/>
  </w:num>
  <w:num w:numId="25">
    <w:abstractNumId w:val="22"/>
  </w:num>
  <w:num w:numId="26">
    <w:abstractNumId w:val="12"/>
  </w:num>
  <w:num w:numId="27">
    <w:abstractNumId w:val="8"/>
  </w:num>
  <w:num w:numId="28">
    <w:abstractNumId w:val="27"/>
  </w:num>
  <w:num w:numId="29">
    <w:abstractNumId w:val="21"/>
  </w:num>
  <w:num w:numId="30">
    <w:abstractNumId w:val="20"/>
  </w:num>
  <w:num w:numId="31">
    <w:abstractNumId w:val="9"/>
  </w:num>
  <w:num w:numId="32">
    <w:abstractNumId w:val="32"/>
  </w:num>
  <w:num w:numId="33">
    <w:abstractNumId w:val="6"/>
  </w:num>
  <w:num w:numId="34">
    <w:abstractNumId w:val="18"/>
  </w:num>
  <w:num w:numId="35">
    <w:abstractNumId w:val="3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72"/>
    <w:rsid w:val="00000F66"/>
    <w:rsid w:val="00085072"/>
    <w:rsid w:val="0009238F"/>
    <w:rsid w:val="000F4AB6"/>
    <w:rsid w:val="00120A0C"/>
    <w:rsid w:val="001228B8"/>
    <w:rsid w:val="0012571A"/>
    <w:rsid w:val="00161A67"/>
    <w:rsid w:val="00174AE0"/>
    <w:rsid w:val="0017666A"/>
    <w:rsid w:val="002B2518"/>
    <w:rsid w:val="002D7A59"/>
    <w:rsid w:val="002F515F"/>
    <w:rsid w:val="003105CE"/>
    <w:rsid w:val="00314A8B"/>
    <w:rsid w:val="0037419D"/>
    <w:rsid w:val="003E62E1"/>
    <w:rsid w:val="003F702E"/>
    <w:rsid w:val="00466C38"/>
    <w:rsid w:val="004B6503"/>
    <w:rsid w:val="00550453"/>
    <w:rsid w:val="00573509"/>
    <w:rsid w:val="005D1ECD"/>
    <w:rsid w:val="0060457B"/>
    <w:rsid w:val="00612058"/>
    <w:rsid w:val="0065734E"/>
    <w:rsid w:val="0066769C"/>
    <w:rsid w:val="0067295B"/>
    <w:rsid w:val="00687745"/>
    <w:rsid w:val="006E145E"/>
    <w:rsid w:val="006F7452"/>
    <w:rsid w:val="0076562E"/>
    <w:rsid w:val="00773EA9"/>
    <w:rsid w:val="007D1435"/>
    <w:rsid w:val="007D7700"/>
    <w:rsid w:val="007F1A4B"/>
    <w:rsid w:val="00813B1F"/>
    <w:rsid w:val="00846C11"/>
    <w:rsid w:val="00874CE2"/>
    <w:rsid w:val="008F3C41"/>
    <w:rsid w:val="00947C46"/>
    <w:rsid w:val="009779D0"/>
    <w:rsid w:val="009B0F57"/>
    <w:rsid w:val="009D3DA1"/>
    <w:rsid w:val="00A10454"/>
    <w:rsid w:val="00A825B4"/>
    <w:rsid w:val="00AC00F0"/>
    <w:rsid w:val="00AE0763"/>
    <w:rsid w:val="00B3593B"/>
    <w:rsid w:val="00B40746"/>
    <w:rsid w:val="00C01E5D"/>
    <w:rsid w:val="00C364AF"/>
    <w:rsid w:val="00C91A3F"/>
    <w:rsid w:val="00CB06FB"/>
    <w:rsid w:val="00D21669"/>
    <w:rsid w:val="00D65A82"/>
    <w:rsid w:val="00D710C8"/>
    <w:rsid w:val="00DB7D1D"/>
    <w:rsid w:val="00DF67A0"/>
    <w:rsid w:val="00E016E3"/>
    <w:rsid w:val="00E265B6"/>
    <w:rsid w:val="00E3685D"/>
    <w:rsid w:val="00E83FED"/>
    <w:rsid w:val="00EF5B81"/>
    <w:rsid w:val="00F06DE6"/>
    <w:rsid w:val="00F177A2"/>
    <w:rsid w:val="00F82605"/>
    <w:rsid w:val="00F82D8C"/>
    <w:rsid w:val="00F870D3"/>
    <w:rsid w:val="00F87DB4"/>
    <w:rsid w:val="00FE0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3401"/>
  <w15:chartTrackingRefBased/>
  <w15:docId w15:val="{011A8F77-29C1-4AE5-962C-F89C245D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7D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77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7A0"/>
    <w:pPr>
      <w:ind w:left="720"/>
      <w:contextualSpacing/>
    </w:pPr>
  </w:style>
  <w:style w:type="table" w:styleId="TableGrid">
    <w:name w:val="Table Grid"/>
    <w:basedOn w:val="TableNormal"/>
    <w:uiPriority w:val="39"/>
    <w:rsid w:val="00DF6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Heading1">
    <w:name w:val="M&amp;R Heading 1"/>
    <w:aliases w:val="M&amp;R H1"/>
    <w:basedOn w:val="Normal"/>
    <w:uiPriority w:val="9"/>
    <w:qFormat/>
    <w:rsid w:val="00F87DB4"/>
    <w:pPr>
      <w:keepNext/>
      <w:keepLines/>
      <w:numPr>
        <w:numId w:val="3"/>
      </w:numPr>
      <w:tabs>
        <w:tab w:val="left" w:pos="720"/>
      </w:tabs>
      <w:spacing w:before="240" w:after="0" w:line="360" w:lineRule="auto"/>
      <w:jc w:val="both"/>
      <w:outlineLvl w:val="0"/>
    </w:pPr>
    <w:rPr>
      <w:rFonts w:ascii="Arial" w:eastAsia="Calibri" w:hAnsi="Arial" w:cs="Times New Roman"/>
      <w:b/>
      <w:u w:val="single"/>
      <w:lang w:eastAsia="en-GB"/>
    </w:rPr>
  </w:style>
  <w:style w:type="paragraph" w:customStyle="1" w:styleId="MRHeading2">
    <w:name w:val="M&amp;R Heading 2"/>
    <w:aliases w:val="M&amp;R H2"/>
    <w:basedOn w:val="Normal"/>
    <w:qFormat/>
    <w:rsid w:val="00F87DB4"/>
    <w:pPr>
      <w:numPr>
        <w:ilvl w:val="1"/>
        <w:numId w:val="3"/>
      </w:numPr>
      <w:tabs>
        <w:tab w:val="left" w:pos="720"/>
      </w:tabs>
      <w:spacing w:before="240" w:after="0" w:line="360" w:lineRule="auto"/>
      <w:jc w:val="both"/>
      <w:outlineLvl w:val="1"/>
    </w:pPr>
    <w:rPr>
      <w:rFonts w:ascii="Arial" w:eastAsia="Calibri" w:hAnsi="Arial" w:cs="Times New Roman"/>
      <w:lang w:eastAsia="en-GB"/>
    </w:rPr>
  </w:style>
  <w:style w:type="paragraph" w:customStyle="1" w:styleId="MRHeading3">
    <w:name w:val="M&amp;R Heading 3"/>
    <w:aliases w:val="M&amp;R H3"/>
    <w:basedOn w:val="Normal"/>
    <w:uiPriority w:val="9"/>
    <w:qFormat/>
    <w:rsid w:val="00F87DB4"/>
    <w:pPr>
      <w:numPr>
        <w:ilvl w:val="2"/>
        <w:numId w:val="3"/>
      </w:numPr>
      <w:tabs>
        <w:tab w:val="left" w:pos="1797"/>
      </w:tabs>
      <w:spacing w:before="240" w:after="0" w:line="360" w:lineRule="auto"/>
      <w:ind w:left="1800"/>
      <w:jc w:val="both"/>
      <w:outlineLvl w:val="2"/>
    </w:pPr>
    <w:rPr>
      <w:rFonts w:ascii="Arial" w:eastAsia="Calibri" w:hAnsi="Arial" w:cs="Times New Roman"/>
      <w:lang w:eastAsia="en-GB"/>
    </w:rPr>
  </w:style>
  <w:style w:type="paragraph" w:customStyle="1" w:styleId="MRHeading4">
    <w:name w:val="M&amp;R Heading 4"/>
    <w:aliases w:val="M&amp;R H4"/>
    <w:basedOn w:val="Normal"/>
    <w:uiPriority w:val="9"/>
    <w:rsid w:val="00F87DB4"/>
    <w:pPr>
      <w:numPr>
        <w:ilvl w:val="3"/>
        <w:numId w:val="3"/>
      </w:numPr>
      <w:tabs>
        <w:tab w:val="left" w:pos="2517"/>
      </w:tabs>
      <w:spacing w:before="240" w:after="0" w:line="360" w:lineRule="auto"/>
      <w:jc w:val="both"/>
      <w:outlineLvl w:val="3"/>
    </w:pPr>
    <w:rPr>
      <w:rFonts w:ascii="Arial" w:eastAsia="Calibri" w:hAnsi="Arial" w:cs="Times New Roman"/>
      <w:lang w:eastAsia="en-GB"/>
    </w:rPr>
  </w:style>
  <w:style w:type="paragraph" w:customStyle="1" w:styleId="MRHeading5">
    <w:name w:val="M&amp;R Heading 5"/>
    <w:aliases w:val="M&amp;R H5"/>
    <w:basedOn w:val="Normal"/>
    <w:uiPriority w:val="9"/>
    <w:rsid w:val="00F87DB4"/>
    <w:pPr>
      <w:numPr>
        <w:ilvl w:val="4"/>
        <w:numId w:val="3"/>
      </w:numPr>
      <w:tabs>
        <w:tab w:val="left" w:pos="3238"/>
      </w:tabs>
      <w:spacing w:before="240" w:after="0" w:line="360" w:lineRule="auto"/>
      <w:jc w:val="both"/>
      <w:outlineLvl w:val="4"/>
    </w:pPr>
    <w:rPr>
      <w:rFonts w:ascii="Arial" w:eastAsia="Calibri" w:hAnsi="Arial" w:cs="Times New Roman"/>
      <w:lang w:eastAsia="en-GB"/>
    </w:rPr>
  </w:style>
  <w:style w:type="paragraph" w:customStyle="1" w:styleId="MRHeading6">
    <w:name w:val="M&amp;R Heading 6"/>
    <w:aliases w:val="M&amp;R H6"/>
    <w:basedOn w:val="Normal"/>
    <w:uiPriority w:val="9"/>
    <w:rsid w:val="00F87DB4"/>
    <w:pPr>
      <w:numPr>
        <w:ilvl w:val="5"/>
        <w:numId w:val="3"/>
      </w:numPr>
      <w:tabs>
        <w:tab w:val="left" w:pos="3958"/>
      </w:tabs>
      <w:spacing w:before="240" w:after="0" w:line="360" w:lineRule="auto"/>
      <w:jc w:val="both"/>
      <w:outlineLvl w:val="5"/>
    </w:pPr>
    <w:rPr>
      <w:rFonts w:ascii="Arial" w:eastAsia="Calibri" w:hAnsi="Arial" w:cs="Times New Roman"/>
      <w:lang w:eastAsia="en-GB"/>
    </w:rPr>
  </w:style>
  <w:style w:type="paragraph" w:customStyle="1" w:styleId="MRHeading7">
    <w:name w:val="M&amp;R Heading 7"/>
    <w:aliases w:val="M&amp;R H7"/>
    <w:basedOn w:val="Normal"/>
    <w:uiPriority w:val="9"/>
    <w:rsid w:val="00F87DB4"/>
    <w:pPr>
      <w:numPr>
        <w:ilvl w:val="6"/>
        <w:numId w:val="3"/>
      </w:numPr>
      <w:tabs>
        <w:tab w:val="left" w:pos="4678"/>
      </w:tabs>
      <w:spacing w:before="240" w:after="0" w:line="360" w:lineRule="auto"/>
      <w:jc w:val="both"/>
      <w:outlineLvl w:val="6"/>
    </w:pPr>
    <w:rPr>
      <w:rFonts w:ascii="Arial" w:eastAsia="Calibri" w:hAnsi="Arial" w:cs="Times New Roman"/>
      <w:lang w:eastAsia="en-GB"/>
    </w:rPr>
  </w:style>
  <w:style w:type="paragraph" w:customStyle="1" w:styleId="MRHeading8">
    <w:name w:val="M&amp;R Heading 8"/>
    <w:aliases w:val="M&amp;R H8"/>
    <w:basedOn w:val="Normal"/>
    <w:uiPriority w:val="9"/>
    <w:rsid w:val="00F87DB4"/>
    <w:pPr>
      <w:numPr>
        <w:ilvl w:val="7"/>
        <w:numId w:val="3"/>
      </w:numPr>
      <w:tabs>
        <w:tab w:val="left" w:pos="5398"/>
      </w:tabs>
      <w:spacing w:before="240" w:after="0" w:line="360" w:lineRule="auto"/>
      <w:jc w:val="both"/>
      <w:outlineLvl w:val="7"/>
    </w:pPr>
    <w:rPr>
      <w:rFonts w:ascii="Arial" w:eastAsia="Calibri" w:hAnsi="Arial" w:cs="Times New Roman"/>
      <w:lang w:eastAsia="en-GB"/>
    </w:rPr>
  </w:style>
  <w:style w:type="paragraph" w:customStyle="1" w:styleId="MRHeading9">
    <w:name w:val="M&amp;R Heading 9"/>
    <w:aliases w:val="M&amp;R H9"/>
    <w:basedOn w:val="Normal"/>
    <w:uiPriority w:val="9"/>
    <w:rsid w:val="00F87DB4"/>
    <w:pPr>
      <w:numPr>
        <w:ilvl w:val="8"/>
        <w:numId w:val="3"/>
      </w:numPr>
      <w:tabs>
        <w:tab w:val="left" w:pos="6118"/>
      </w:tabs>
      <w:spacing w:before="240" w:after="0" w:line="360" w:lineRule="auto"/>
      <w:jc w:val="both"/>
      <w:outlineLvl w:val="8"/>
    </w:pPr>
    <w:rPr>
      <w:rFonts w:ascii="Arial" w:eastAsia="Calibri" w:hAnsi="Arial" w:cs="Times New Roman"/>
      <w:lang w:eastAsia="en-GB"/>
    </w:rPr>
  </w:style>
  <w:style w:type="character" w:customStyle="1" w:styleId="Heading1Char">
    <w:name w:val="Heading 1 Char"/>
    <w:basedOn w:val="DefaultParagraphFont"/>
    <w:link w:val="Heading1"/>
    <w:uiPriority w:val="9"/>
    <w:rsid w:val="00F87DB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21669"/>
    <w:rPr>
      <w:color w:val="0563C1" w:themeColor="hyperlink"/>
      <w:u w:val="single"/>
    </w:rPr>
  </w:style>
  <w:style w:type="character" w:styleId="UnresolvedMention">
    <w:name w:val="Unresolved Mention"/>
    <w:basedOn w:val="DefaultParagraphFont"/>
    <w:uiPriority w:val="99"/>
    <w:semiHidden/>
    <w:unhideWhenUsed/>
    <w:rsid w:val="00D21669"/>
    <w:rPr>
      <w:color w:val="605E5C"/>
      <w:shd w:val="clear" w:color="auto" w:fill="E1DFDD"/>
    </w:rPr>
  </w:style>
  <w:style w:type="character" w:styleId="Strong">
    <w:name w:val="Strong"/>
    <w:basedOn w:val="DefaultParagraphFont"/>
    <w:uiPriority w:val="22"/>
    <w:qFormat/>
    <w:rsid w:val="002F515F"/>
    <w:rPr>
      <w:b/>
      <w:bCs/>
    </w:rPr>
  </w:style>
  <w:style w:type="paragraph" w:styleId="NormalWeb">
    <w:name w:val="Normal (Web)"/>
    <w:basedOn w:val="Normal"/>
    <w:uiPriority w:val="99"/>
    <w:unhideWhenUsed/>
    <w:rsid w:val="002F51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F515F"/>
    <w:rPr>
      <w:i/>
      <w:iCs/>
    </w:rPr>
  </w:style>
  <w:style w:type="paragraph" w:styleId="BalloonText">
    <w:name w:val="Balloon Text"/>
    <w:basedOn w:val="Normal"/>
    <w:link w:val="BalloonTextChar"/>
    <w:uiPriority w:val="99"/>
    <w:semiHidden/>
    <w:unhideWhenUsed/>
    <w:rsid w:val="005D1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ECD"/>
    <w:rPr>
      <w:rFonts w:ascii="Segoe UI" w:hAnsi="Segoe UI" w:cs="Segoe UI"/>
      <w:sz w:val="18"/>
      <w:szCs w:val="18"/>
    </w:rPr>
  </w:style>
  <w:style w:type="character" w:styleId="CommentReference">
    <w:name w:val="annotation reference"/>
    <w:basedOn w:val="DefaultParagraphFont"/>
    <w:uiPriority w:val="99"/>
    <w:semiHidden/>
    <w:unhideWhenUsed/>
    <w:rsid w:val="006F7452"/>
    <w:rPr>
      <w:sz w:val="16"/>
      <w:szCs w:val="16"/>
    </w:rPr>
  </w:style>
  <w:style w:type="paragraph" w:styleId="CommentText">
    <w:name w:val="annotation text"/>
    <w:basedOn w:val="Normal"/>
    <w:link w:val="CommentTextChar"/>
    <w:uiPriority w:val="99"/>
    <w:semiHidden/>
    <w:unhideWhenUsed/>
    <w:rsid w:val="006F7452"/>
    <w:pPr>
      <w:spacing w:line="240" w:lineRule="auto"/>
    </w:pPr>
    <w:rPr>
      <w:sz w:val="20"/>
      <w:szCs w:val="20"/>
    </w:rPr>
  </w:style>
  <w:style w:type="character" w:customStyle="1" w:styleId="CommentTextChar">
    <w:name w:val="Comment Text Char"/>
    <w:basedOn w:val="DefaultParagraphFont"/>
    <w:link w:val="CommentText"/>
    <w:uiPriority w:val="99"/>
    <w:semiHidden/>
    <w:rsid w:val="006F7452"/>
    <w:rPr>
      <w:sz w:val="20"/>
      <w:szCs w:val="20"/>
    </w:rPr>
  </w:style>
  <w:style w:type="paragraph" w:styleId="CommentSubject">
    <w:name w:val="annotation subject"/>
    <w:basedOn w:val="CommentText"/>
    <w:next w:val="CommentText"/>
    <w:link w:val="CommentSubjectChar"/>
    <w:uiPriority w:val="99"/>
    <w:semiHidden/>
    <w:unhideWhenUsed/>
    <w:rsid w:val="006F7452"/>
    <w:rPr>
      <w:b/>
      <w:bCs/>
    </w:rPr>
  </w:style>
  <w:style w:type="character" w:customStyle="1" w:styleId="CommentSubjectChar">
    <w:name w:val="Comment Subject Char"/>
    <w:basedOn w:val="CommentTextChar"/>
    <w:link w:val="CommentSubject"/>
    <w:uiPriority w:val="99"/>
    <w:semiHidden/>
    <w:rsid w:val="006F7452"/>
    <w:rPr>
      <w:b/>
      <w:bCs/>
      <w:sz w:val="20"/>
      <w:szCs w:val="20"/>
    </w:rPr>
  </w:style>
  <w:style w:type="character" w:customStyle="1" w:styleId="Heading2Char">
    <w:name w:val="Heading 2 Char"/>
    <w:basedOn w:val="DefaultParagraphFont"/>
    <w:link w:val="Heading2"/>
    <w:uiPriority w:val="9"/>
    <w:rsid w:val="0068774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12366">
      <w:bodyDiv w:val="1"/>
      <w:marLeft w:val="0"/>
      <w:marRight w:val="0"/>
      <w:marTop w:val="0"/>
      <w:marBottom w:val="0"/>
      <w:divBdr>
        <w:top w:val="none" w:sz="0" w:space="0" w:color="auto"/>
        <w:left w:val="none" w:sz="0" w:space="0" w:color="auto"/>
        <w:bottom w:val="none" w:sz="0" w:space="0" w:color="auto"/>
        <w:right w:val="none" w:sz="0" w:space="0" w:color="auto"/>
      </w:divBdr>
    </w:div>
    <w:div w:id="840780394">
      <w:bodyDiv w:val="1"/>
      <w:marLeft w:val="0"/>
      <w:marRight w:val="0"/>
      <w:marTop w:val="0"/>
      <w:marBottom w:val="0"/>
      <w:divBdr>
        <w:top w:val="none" w:sz="0" w:space="0" w:color="auto"/>
        <w:left w:val="none" w:sz="0" w:space="0" w:color="auto"/>
        <w:bottom w:val="none" w:sz="0" w:space="0" w:color="auto"/>
        <w:right w:val="none" w:sz="0" w:space="0" w:color="auto"/>
      </w:divBdr>
    </w:div>
    <w:div w:id="992568162">
      <w:bodyDiv w:val="1"/>
      <w:marLeft w:val="0"/>
      <w:marRight w:val="0"/>
      <w:marTop w:val="0"/>
      <w:marBottom w:val="0"/>
      <w:divBdr>
        <w:top w:val="none" w:sz="0" w:space="0" w:color="auto"/>
        <w:left w:val="none" w:sz="0" w:space="0" w:color="auto"/>
        <w:bottom w:val="none" w:sz="0" w:space="0" w:color="auto"/>
        <w:right w:val="none" w:sz="0" w:space="0" w:color="auto"/>
      </w:divBdr>
    </w:div>
    <w:div w:id="1287540987">
      <w:bodyDiv w:val="1"/>
      <w:marLeft w:val="0"/>
      <w:marRight w:val="0"/>
      <w:marTop w:val="0"/>
      <w:marBottom w:val="0"/>
      <w:divBdr>
        <w:top w:val="none" w:sz="0" w:space="0" w:color="auto"/>
        <w:left w:val="none" w:sz="0" w:space="0" w:color="auto"/>
        <w:bottom w:val="none" w:sz="0" w:space="0" w:color="auto"/>
        <w:right w:val="none" w:sz="0" w:space="0" w:color="auto"/>
      </w:divBdr>
    </w:div>
    <w:div w:id="1791826390">
      <w:bodyDiv w:val="1"/>
      <w:marLeft w:val="0"/>
      <w:marRight w:val="0"/>
      <w:marTop w:val="0"/>
      <w:marBottom w:val="0"/>
      <w:divBdr>
        <w:top w:val="none" w:sz="0" w:space="0" w:color="auto"/>
        <w:left w:val="none" w:sz="0" w:space="0" w:color="auto"/>
        <w:bottom w:val="none" w:sz="0" w:space="0" w:color="auto"/>
        <w:right w:val="none" w:sz="0" w:space="0" w:color="auto"/>
      </w:divBdr>
    </w:div>
    <w:div w:id="1956861932">
      <w:bodyDiv w:val="1"/>
      <w:marLeft w:val="0"/>
      <w:marRight w:val="0"/>
      <w:marTop w:val="0"/>
      <w:marBottom w:val="0"/>
      <w:divBdr>
        <w:top w:val="none" w:sz="0" w:space="0" w:color="auto"/>
        <w:left w:val="none" w:sz="0" w:space="0" w:color="auto"/>
        <w:bottom w:val="none" w:sz="0" w:space="0" w:color="auto"/>
        <w:right w:val="none" w:sz="0" w:space="0" w:color="auto"/>
      </w:divBdr>
    </w:div>
    <w:div w:id="202882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ac-initiativ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Estelle</dc:creator>
  <cp:keywords/>
  <dc:description/>
  <cp:lastModifiedBy>Lorraine Estelle</cp:lastModifiedBy>
  <cp:revision>12</cp:revision>
  <cp:lastPrinted>2019-09-04T14:12:00Z</cp:lastPrinted>
  <dcterms:created xsi:type="dcterms:W3CDTF">2019-08-22T14:11:00Z</dcterms:created>
  <dcterms:modified xsi:type="dcterms:W3CDTF">2019-09-10T09:42:00Z</dcterms:modified>
</cp:coreProperties>
</file>